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E558E8" w14:textId="185535F8" w:rsidR="0027348F" w:rsidRDefault="0027348F" w:rsidP="0027348F">
      <w:pPr>
        <w:pStyle w:val="Title"/>
        <w:tabs>
          <w:tab w:val="left" w:pos="4500"/>
        </w:tabs>
        <w:jc w:val="left"/>
      </w:pPr>
    </w:p>
    <w:p w14:paraId="4C90C061" w14:textId="77777777" w:rsidR="0027348F" w:rsidRDefault="0027348F" w:rsidP="0027348F">
      <w:pPr>
        <w:pStyle w:val="Title"/>
        <w:jc w:val="left"/>
      </w:pPr>
    </w:p>
    <w:p w14:paraId="738B4452" w14:textId="7125203C" w:rsidR="00D1076C" w:rsidRPr="00360FEF" w:rsidRDefault="00BB5939" w:rsidP="009C6D19">
      <w:pPr>
        <w:pStyle w:val="Title"/>
        <w:ind w:left="720"/>
        <w:jc w:val="left"/>
        <w:rPr>
          <w:rFonts w:ascii="Aptos" w:hAnsi="Aptos"/>
          <w:color w:val="34246B" w:themeColor="accent2"/>
          <w:sz w:val="56"/>
          <w:szCs w:val="56"/>
        </w:rPr>
      </w:pPr>
      <w:r w:rsidRPr="00360FEF">
        <w:rPr>
          <w:rFonts w:ascii="Aptos" w:hAnsi="Aptos"/>
          <w:color w:val="34246B" w:themeColor="accent2"/>
          <w:sz w:val="56"/>
          <w:szCs w:val="56"/>
        </w:rPr>
        <w:t xml:space="preserve">CRI </w:t>
      </w:r>
      <w:r w:rsidR="007833E1" w:rsidRPr="00360FEF">
        <w:rPr>
          <w:rFonts w:ascii="Aptos" w:hAnsi="Aptos"/>
          <w:color w:val="34246B" w:themeColor="accent2"/>
          <w:sz w:val="56"/>
          <w:szCs w:val="56"/>
        </w:rPr>
        <w:t xml:space="preserve">Financial Services </w:t>
      </w:r>
      <w:r w:rsidR="00D1076C" w:rsidRPr="00360FEF">
        <w:rPr>
          <w:rFonts w:ascii="Aptos" w:hAnsi="Aptos"/>
          <w:color w:val="34246B" w:themeColor="accent2"/>
          <w:sz w:val="56"/>
          <w:szCs w:val="56"/>
        </w:rPr>
        <w:t>AI</w:t>
      </w:r>
      <w:r w:rsidR="007833E1" w:rsidRPr="00360FEF">
        <w:rPr>
          <w:rFonts w:ascii="Aptos" w:hAnsi="Aptos"/>
          <w:color w:val="34246B" w:themeColor="accent2"/>
          <w:sz w:val="56"/>
          <w:szCs w:val="56"/>
        </w:rPr>
        <w:t xml:space="preserve"> Risk Management Framework </w:t>
      </w:r>
      <w:r w:rsidR="00920410">
        <w:rPr>
          <w:rFonts w:ascii="Aptos" w:hAnsi="Aptos"/>
          <w:color w:val="34246B" w:themeColor="accent2"/>
          <w:sz w:val="56"/>
          <w:szCs w:val="56"/>
        </w:rPr>
        <w:br/>
      </w:r>
      <w:r w:rsidR="00360FEF" w:rsidRPr="00360FEF">
        <w:rPr>
          <w:rFonts w:ascii="Aptos" w:hAnsi="Aptos"/>
          <w:color w:val="34246B" w:themeColor="accent2"/>
          <w:sz w:val="56"/>
          <w:szCs w:val="56"/>
        </w:rPr>
        <w:t>Ver</w:t>
      </w:r>
      <w:r w:rsidR="006852D9">
        <w:rPr>
          <w:rFonts w:ascii="Aptos" w:hAnsi="Aptos"/>
          <w:color w:val="34246B" w:themeColor="accent2"/>
          <w:sz w:val="56"/>
          <w:szCs w:val="56"/>
        </w:rPr>
        <w:t>.</w:t>
      </w:r>
      <w:r w:rsidR="00360FEF" w:rsidRPr="00360FEF">
        <w:rPr>
          <w:rFonts w:ascii="Aptos" w:hAnsi="Aptos"/>
          <w:color w:val="34246B" w:themeColor="accent2"/>
          <w:sz w:val="56"/>
          <w:szCs w:val="56"/>
        </w:rPr>
        <w:t xml:space="preserve"> </w:t>
      </w:r>
      <w:r w:rsidR="00F33F7C" w:rsidRPr="00360FEF">
        <w:rPr>
          <w:rFonts w:ascii="Aptos" w:hAnsi="Aptos"/>
          <w:color w:val="34246B" w:themeColor="accent2"/>
          <w:sz w:val="56"/>
          <w:szCs w:val="56"/>
        </w:rPr>
        <w:t>1.0</w:t>
      </w:r>
    </w:p>
    <w:p w14:paraId="7D5A4CD7" w14:textId="77777777" w:rsidR="007B272F" w:rsidRDefault="007B272F" w:rsidP="007B272F">
      <w:pPr>
        <w:pStyle w:val="SubtitleOrange"/>
        <w:spacing w:after="120"/>
        <w:ind w:left="1440"/>
        <w:rPr>
          <w:rFonts w:ascii="Aptos" w:hAnsi="Aptos"/>
          <w:sz w:val="44"/>
          <w:szCs w:val="44"/>
        </w:rPr>
      </w:pPr>
    </w:p>
    <w:p w14:paraId="0C42E03A" w14:textId="61BB6D23" w:rsidR="007B272F" w:rsidRPr="000B51E8" w:rsidRDefault="002E7613" w:rsidP="001B5D99">
      <w:pPr>
        <w:pStyle w:val="SubtitleOrange"/>
        <w:spacing w:after="120"/>
        <w:ind w:left="720"/>
        <w:rPr>
          <w:rFonts w:ascii="Aptos" w:hAnsi="Aptos"/>
          <w:sz w:val="48"/>
          <w:szCs w:val="48"/>
        </w:rPr>
      </w:pPr>
      <w:r>
        <w:rPr>
          <w:rFonts w:ascii="Aptos" w:hAnsi="Aptos"/>
          <w:sz w:val="48"/>
          <w:szCs w:val="48"/>
        </w:rPr>
        <w:t>Control Objective Reference Guide</w:t>
      </w:r>
      <w:r w:rsidR="001B5D99">
        <w:rPr>
          <w:rFonts w:ascii="Aptos" w:hAnsi="Aptos"/>
          <w:sz w:val="48"/>
          <w:szCs w:val="48"/>
        </w:rPr>
        <w:t xml:space="preserve"> – </w:t>
      </w:r>
      <w:r w:rsidR="001B5D99">
        <w:rPr>
          <w:rFonts w:ascii="Aptos" w:hAnsi="Aptos"/>
          <w:sz w:val="48"/>
          <w:szCs w:val="48"/>
        </w:rPr>
        <w:br/>
      </w:r>
      <w:r w:rsidR="005E2FCC">
        <w:rPr>
          <w:rFonts w:ascii="Aptos" w:hAnsi="Aptos"/>
          <w:sz w:val="48"/>
          <w:szCs w:val="48"/>
        </w:rPr>
        <w:t>I</w:t>
      </w:r>
      <w:r w:rsidR="00F97E71">
        <w:rPr>
          <w:rFonts w:ascii="Aptos" w:hAnsi="Aptos"/>
          <w:sz w:val="48"/>
          <w:szCs w:val="48"/>
        </w:rPr>
        <w:t>nitial</w:t>
      </w:r>
      <w:r w:rsidR="001B5D99">
        <w:rPr>
          <w:rFonts w:ascii="Aptos" w:hAnsi="Aptos"/>
          <w:sz w:val="48"/>
          <w:szCs w:val="48"/>
        </w:rPr>
        <w:t xml:space="preserve"> AI Adoption Stage</w:t>
      </w:r>
    </w:p>
    <w:p w14:paraId="3CBE1642" w14:textId="77777777" w:rsidR="007B272F" w:rsidRDefault="007B272F" w:rsidP="007B272F">
      <w:pPr>
        <w:pStyle w:val="CoverBodyGrey"/>
        <w:spacing w:after="120"/>
        <w:ind w:left="720"/>
        <w:rPr>
          <w:rFonts w:ascii="Aptos" w:hAnsi="Aptos"/>
        </w:rPr>
      </w:pPr>
    </w:p>
    <w:p w14:paraId="6368BD50" w14:textId="77777777" w:rsidR="007B272F" w:rsidRPr="00A6032B" w:rsidRDefault="007B272F" w:rsidP="007B272F">
      <w:pPr>
        <w:pStyle w:val="CoverBodyGrey"/>
        <w:spacing w:after="120"/>
        <w:ind w:left="720"/>
        <w:rPr>
          <w:rFonts w:ascii="Aptos" w:hAnsi="Aptos"/>
        </w:rPr>
      </w:pPr>
    </w:p>
    <w:p w14:paraId="44339003" w14:textId="58CD6FD2" w:rsidR="007B272F" w:rsidRPr="00005A4A" w:rsidRDefault="00D72AE9" w:rsidP="007B272F">
      <w:pPr>
        <w:pStyle w:val="CoverBodyGrey"/>
        <w:spacing w:after="120"/>
        <w:ind w:firstLine="720"/>
        <w:rPr>
          <w:rFonts w:ascii="Aptos" w:hAnsi="Aptos"/>
          <w:sz w:val="36"/>
        </w:rPr>
      </w:pPr>
      <w:r>
        <w:rPr>
          <w:rFonts w:ascii="Aptos" w:hAnsi="Aptos"/>
          <w:sz w:val="36"/>
        </w:rPr>
        <w:t>February</w:t>
      </w:r>
      <w:r w:rsidR="007B272F" w:rsidRPr="00005A4A">
        <w:rPr>
          <w:rFonts w:ascii="Aptos" w:hAnsi="Aptos"/>
          <w:sz w:val="36"/>
        </w:rPr>
        <w:t xml:space="preserve"> 202</w:t>
      </w:r>
      <w:r>
        <w:rPr>
          <w:rFonts w:ascii="Aptos" w:hAnsi="Aptos"/>
          <w:sz w:val="36"/>
        </w:rPr>
        <w:t>6</w:t>
      </w:r>
    </w:p>
    <w:p w14:paraId="092896CA" w14:textId="77777777" w:rsidR="007B272F" w:rsidRDefault="007B272F" w:rsidP="007B272F">
      <w:pPr>
        <w:pStyle w:val="CoverBodyGrey"/>
        <w:spacing w:after="120"/>
        <w:ind w:left="1440"/>
        <w:rPr>
          <w:rFonts w:ascii="Aptos" w:hAnsi="Aptos"/>
        </w:rPr>
      </w:pPr>
    </w:p>
    <w:p w14:paraId="752D72BC" w14:textId="08F6A0CD" w:rsidR="007B272F" w:rsidRDefault="005B1C6A" w:rsidP="007B272F">
      <w:pPr>
        <w:pStyle w:val="CoverBodyGrey"/>
        <w:spacing w:after="120"/>
        <w:ind w:left="1440"/>
        <w:rPr>
          <w:rFonts w:ascii="Aptos" w:hAnsi="Aptos"/>
        </w:rPr>
      </w:pPr>
      <w:r w:rsidRPr="00A05789">
        <w:rPr>
          <w:rFonts w:ascii="Aptos" w:hAnsi="Aptos"/>
          <w:i/>
          <w:iCs/>
          <w:noProof/>
          <w:color w:val="B31E3E" w:themeColor="accent1"/>
          <w:sz w:val="28"/>
          <w:szCs w:val="32"/>
        </w:rPr>
        <w:drawing>
          <wp:inline distT="0" distB="0" distL="0" distR="0" wp14:anchorId="7883935D" wp14:editId="6AB94E25">
            <wp:extent cx="4825497" cy="680261"/>
            <wp:effectExtent l="0" t="0" r="0" b="5715"/>
            <wp:docPr id="13" name="Picture 12">
              <a:extLst xmlns:a="http://schemas.openxmlformats.org/drawingml/2006/main">
                <a:ext uri="{FF2B5EF4-FFF2-40B4-BE49-F238E27FC236}">
                  <a16:creationId xmlns:a16="http://schemas.microsoft.com/office/drawing/2014/main" id="{2BDF3D50-1400-BD31-1A55-33D5BCD620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2BDF3D50-1400-BD31-1A55-33D5BCD6206D}"/>
                        </a:ext>
                      </a:extLst>
                    </pic:cNvPr>
                    <pic:cNvPicPr>
                      <a:picLocks noChangeAspect="1"/>
                    </pic:cNvPicPr>
                  </pic:nvPicPr>
                  <pic:blipFill>
                    <a:blip r:embed="rId11"/>
                    <a:stretch>
                      <a:fillRect/>
                    </a:stretch>
                  </pic:blipFill>
                  <pic:spPr>
                    <a:xfrm>
                      <a:off x="0" y="0"/>
                      <a:ext cx="4879279" cy="687843"/>
                    </a:xfrm>
                    <a:prstGeom prst="rect">
                      <a:avLst/>
                    </a:prstGeom>
                  </pic:spPr>
                </pic:pic>
              </a:graphicData>
            </a:graphic>
          </wp:inline>
        </w:drawing>
      </w:r>
    </w:p>
    <w:p w14:paraId="5D155797" w14:textId="77777777" w:rsidR="00CE4DC9" w:rsidRPr="00EA028D" w:rsidRDefault="00CE4DC9" w:rsidP="00CE4DC9">
      <w:pPr>
        <w:pStyle w:val="CoverBodyGrey"/>
        <w:spacing w:after="120"/>
        <w:ind w:left="720"/>
        <w:rPr>
          <w:rFonts w:ascii="Aptos" w:hAnsi="Aptos"/>
          <w:sz w:val="24"/>
          <w:szCs w:val="24"/>
        </w:rPr>
      </w:pPr>
      <w:r w:rsidRPr="00EA028D">
        <w:rPr>
          <w:rFonts w:ascii="Aptos" w:hAnsi="Aptos"/>
          <w:sz w:val="24"/>
          <w:szCs w:val="24"/>
        </w:rPr>
        <w:t>Developed in collaboration with the Financial Services Sector Coordinating Council and the U.S. Department of the Treasury</w:t>
      </w:r>
    </w:p>
    <w:p w14:paraId="4CEBC2FA" w14:textId="77777777" w:rsidR="005B1C6A" w:rsidRPr="00A6032B" w:rsidRDefault="005B1C6A" w:rsidP="007B272F">
      <w:pPr>
        <w:pStyle w:val="CoverBodyGrey"/>
        <w:spacing w:after="120"/>
        <w:ind w:left="1440"/>
        <w:rPr>
          <w:rFonts w:ascii="Aptos" w:hAnsi="Aptos"/>
        </w:rPr>
      </w:pPr>
    </w:p>
    <w:p w14:paraId="5D73F24E" w14:textId="6E56C247" w:rsidR="0027348F" w:rsidRPr="00F33F7C" w:rsidRDefault="0027348F" w:rsidP="00F75F41">
      <w:pPr>
        <w:pStyle w:val="Title"/>
        <w:ind w:left="720"/>
        <w:jc w:val="left"/>
        <w:rPr>
          <w:rFonts w:ascii="Aptos" w:hAnsi="Aptos"/>
        </w:rPr>
      </w:pPr>
    </w:p>
    <w:p w14:paraId="7D758A28" w14:textId="2D96884B" w:rsidR="00F81BB2" w:rsidRPr="00BB1202" w:rsidRDefault="00D50B66" w:rsidP="00614319">
      <w:pPr>
        <w:jc w:val="right"/>
        <w:rPr>
          <w:rFonts w:ascii="Aptos" w:hAnsi="Aptos"/>
          <w:i/>
          <w:iCs/>
          <w:color w:val="B31E3E" w:themeColor="accent1"/>
          <w:sz w:val="28"/>
          <w:szCs w:val="32"/>
        </w:rPr>
      </w:pPr>
      <w:bookmarkStart w:id="0" w:name="_Toc14700758"/>
      <w:bookmarkStart w:id="1" w:name="_Toc14702154"/>
      <w:bookmarkStart w:id="2" w:name="_Toc14705147"/>
      <w:bookmarkStart w:id="3" w:name="_Toc14705368"/>
      <w:r w:rsidRPr="00BB1202">
        <w:rPr>
          <w:rFonts w:ascii="Aptos" w:hAnsi="Aptos" w:cstheme="majorHAnsi"/>
          <w:noProof/>
          <w:sz w:val="32"/>
          <w:szCs w:val="36"/>
        </w:rPr>
        <w:drawing>
          <wp:anchor distT="0" distB="0" distL="114300" distR="114300" simplePos="0" relativeHeight="251651584" behindDoc="1" locked="0" layoutInCell="1" allowOverlap="1" wp14:anchorId="44C5F6CE" wp14:editId="537603E7">
            <wp:simplePos x="0" y="0"/>
            <wp:positionH relativeFrom="column">
              <wp:posOffset>62230</wp:posOffset>
            </wp:positionH>
            <wp:positionV relativeFrom="page">
              <wp:posOffset>6570980</wp:posOffset>
            </wp:positionV>
            <wp:extent cx="6403340" cy="2588895"/>
            <wp:effectExtent l="0" t="0" r="0" b="1905"/>
            <wp:wrapNone/>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rot="10800000" flipH="1">
                      <a:off x="0" y="0"/>
                      <a:ext cx="6403340" cy="2588895"/>
                    </a:xfrm>
                    <a:prstGeom prst="rect">
                      <a:avLst/>
                    </a:prstGeom>
                  </pic:spPr>
                </pic:pic>
              </a:graphicData>
            </a:graphic>
            <wp14:sizeRelH relativeFrom="page">
              <wp14:pctWidth>0</wp14:pctWidth>
            </wp14:sizeRelH>
            <wp14:sizeRelV relativeFrom="page">
              <wp14:pctHeight>0</wp14:pctHeight>
            </wp14:sizeRelV>
          </wp:anchor>
        </w:drawing>
      </w:r>
    </w:p>
    <w:p w14:paraId="056D431F" w14:textId="2D3F3DF4" w:rsidR="00F81BB2" w:rsidRPr="00BB1202" w:rsidRDefault="00F81BB2">
      <w:pPr>
        <w:rPr>
          <w:rFonts w:ascii="Aptos" w:hAnsi="Aptos"/>
          <w:i/>
          <w:iCs/>
          <w:color w:val="B31E3E" w:themeColor="accent1"/>
          <w:sz w:val="28"/>
          <w:szCs w:val="32"/>
        </w:rPr>
      </w:pPr>
    </w:p>
    <w:p w14:paraId="65CFCDAE" w14:textId="77777777" w:rsidR="00F564A7" w:rsidRDefault="00F564A7" w:rsidP="004059B3">
      <w:pPr>
        <w:pStyle w:val="CoverBodyGrey"/>
        <w:ind w:left="450"/>
        <w:rPr>
          <w:rFonts w:ascii="Aptos" w:hAnsi="Aptos"/>
          <w:color w:val="FFFFFF" w:themeColor="background1"/>
        </w:rPr>
      </w:pPr>
      <w:r w:rsidRPr="00E43F58">
        <w:rPr>
          <w:rFonts w:ascii="Aptos" w:hAnsi="Aptos"/>
          <w:color w:val="FFFFFF" w:themeColor="background1"/>
        </w:rPr>
        <w:t>Cyber Risk Institute</w:t>
      </w:r>
      <w:r w:rsidRPr="00E43F58">
        <w:rPr>
          <w:rFonts w:ascii="Aptos" w:hAnsi="Aptos"/>
          <w:color w:val="FFFFFF" w:themeColor="background1"/>
        </w:rPr>
        <w:br/>
        <w:t>Washington, D.C.</w:t>
      </w:r>
    </w:p>
    <w:p w14:paraId="70127050" w14:textId="77777777" w:rsidR="00F564A7" w:rsidRPr="00E43F58" w:rsidRDefault="00F564A7" w:rsidP="004059B3">
      <w:pPr>
        <w:pStyle w:val="CoverBodyGrey"/>
        <w:ind w:left="450"/>
        <w:rPr>
          <w:rFonts w:ascii="Aptos" w:hAnsi="Aptos" w:cs="Times New Roman"/>
          <w:sz w:val="28"/>
          <w:szCs w:val="32"/>
        </w:rPr>
      </w:pPr>
      <w:r w:rsidRPr="00E43F58">
        <w:rPr>
          <w:rFonts w:ascii="Aptos" w:hAnsi="Aptos"/>
        </w:rPr>
        <w:br/>
      </w:r>
      <w:hyperlink r:id="rId13" w:history="1">
        <w:r w:rsidRPr="00E43F58">
          <w:rPr>
            <w:rStyle w:val="Hyperlink"/>
            <w:rFonts w:ascii="Aptos" w:hAnsi="Aptos"/>
            <w:color w:val="FFFFFF" w:themeColor="background1"/>
          </w:rPr>
          <w:t>CyberRiskInstitute.org</w:t>
        </w:r>
        <w:r w:rsidRPr="00E43F58">
          <w:rPr>
            <w:rStyle w:val="Hyperlink"/>
            <w:rFonts w:ascii="Aptos" w:hAnsi="Aptos"/>
            <w:color w:val="FFFFFF" w:themeColor="background1"/>
          </w:rPr>
          <w:br w:type="page"/>
        </w:r>
      </w:hyperlink>
    </w:p>
    <w:p w14:paraId="5DB9AC51" w14:textId="4576B0EF" w:rsidR="00715921" w:rsidRPr="00BB1202" w:rsidRDefault="00715921">
      <w:pPr>
        <w:rPr>
          <w:rFonts w:ascii="Aptos" w:hAnsi="Aptos"/>
          <w:i/>
          <w:iCs/>
          <w:color w:val="B31E3E" w:themeColor="accent1"/>
          <w:sz w:val="28"/>
          <w:szCs w:val="32"/>
        </w:rPr>
      </w:pPr>
    </w:p>
    <w:p w14:paraId="295FE1A6" w14:textId="040384B0" w:rsidR="00715921" w:rsidRPr="00BB1202" w:rsidRDefault="00715921">
      <w:pPr>
        <w:rPr>
          <w:rFonts w:ascii="Aptos" w:hAnsi="Aptos"/>
          <w:i/>
          <w:iCs/>
          <w:color w:val="B31E3E" w:themeColor="accent1"/>
          <w:sz w:val="28"/>
          <w:szCs w:val="32"/>
        </w:rPr>
      </w:pPr>
    </w:p>
    <w:p w14:paraId="020A4A47" w14:textId="5C00E068" w:rsidR="00D21B14" w:rsidRPr="00141C7A" w:rsidRDefault="00DA3503" w:rsidP="00FF487A">
      <w:pPr>
        <w:spacing w:line="269" w:lineRule="auto"/>
        <w:jc w:val="both"/>
        <w:rPr>
          <w:rFonts w:ascii="Aptos" w:hAnsi="Aptos"/>
          <w:b/>
          <w:bCs/>
          <w:color w:val="34246B" w:themeColor="accent2"/>
          <w:sz w:val="28"/>
          <w:szCs w:val="28"/>
        </w:rPr>
      </w:pPr>
      <w:bookmarkStart w:id="4" w:name="_Toc14449287"/>
      <w:bookmarkStart w:id="5" w:name="_Toc14700759"/>
      <w:bookmarkStart w:id="6" w:name="_Toc43996376"/>
      <w:bookmarkStart w:id="7" w:name="_Hlk44341187"/>
      <w:bookmarkEnd w:id="0"/>
      <w:bookmarkEnd w:id="1"/>
      <w:bookmarkEnd w:id="2"/>
      <w:bookmarkEnd w:id="3"/>
      <w:r w:rsidRPr="00141C7A">
        <w:rPr>
          <w:rFonts w:ascii="Aptos" w:hAnsi="Aptos"/>
          <w:b/>
          <w:bCs/>
          <w:color w:val="34246B" w:themeColor="accent2"/>
          <w:sz w:val="28"/>
          <w:szCs w:val="28"/>
        </w:rPr>
        <w:t>INTRODUCTION</w:t>
      </w:r>
    </w:p>
    <w:p w14:paraId="5FD029AF" w14:textId="77777777" w:rsidR="00D21B14" w:rsidRPr="00141C7A" w:rsidRDefault="00D21B14" w:rsidP="00141C7A">
      <w:pPr>
        <w:jc w:val="both"/>
        <w:rPr>
          <w:rFonts w:ascii="Aptos" w:hAnsi="Aptos"/>
          <w:color w:val="auto"/>
          <w:sz w:val="20"/>
          <w:szCs w:val="20"/>
        </w:rPr>
      </w:pPr>
    </w:p>
    <w:p w14:paraId="64182888" w14:textId="59296548" w:rsidR="000A1C80" w:rsidRPr="00141C7A" w:rsidRDefault="00DA3503" w:rsidP="00141C7A">
      <w:pPr>
        <w:jc w:val="both"/>
        <w:rPr>
          <w:rFonts w:ascii="Aptos" w:hAnsi="Aptos"/>
          <w:color w:val="auto"/>
          <w:sz w:val="20"/>
          <w:szCs w:val="20"/>
        </w:rPr>
      </w:pPr>
      <w:r w:rsidRPr="00141C7A">
        <w:rPr>
          <w:rFonts w:ascii="Aptos" w:hAnsi="Aptos"/>
          <w:color w:val="auto"/>
          <w:sz w:val="20"/>
          <w:szCs w:val="20"/>
        </w:rPr>
        <w:t>T</w:t>
      </w:r>
      <w:r w:rsidR="009D6798" w:rsidRPr="00141C7A">
        <w:rPr>
          <w:rFonts w:ascii="Aptos" w:hAnsi="Aptos"/>
          <w:color w:val="auto"/>
          <w:sz w:val="20"/>
          <w:szCs w:val="20"/>
        </w:rPr>
        <w:t>his document</w:t>
      </w:r>
      <w:r w:rsidR="004F627A" w:rsidRPr="00141C7A">
        <w:rPr>
          <w:rFonts w:ascii="Aptos" w:hAnsi="Aptos"/>
          <w:color w:val="auto"/>
          <w:sz w:val="20"/>
          <w:szCs w:val="20"/>
        </w:rPr>
        <w:t xml:space="preserve"> </w:t>
      </w:r>
      <w:r w:rsidR="00B110AA" w:rsidRPr="00141C7A">
        <w:rPr>
          <w:rFonts w:ascii="Aptos" w:hAnsi="Aptos"/>
          <w:color w:val="auto"/>
          <w:sz w:val="20"/>
          <w:szCs w:val="20"/>
        </w:rPr>
        <w:t>serves as a detailed reference</w:t>
      </w:r>
      <w:r w:rsidR="004F627A" w:rsidRPr="00141C7A">
        <w:rPr>
          <w:rFonts w:ascii="Aptos" w:hAnsi="Aptos"/>
          <w:color w:val="auto"/>
          <w:sz w:val="20"/>
          <w:szCs w:val="20"/>
        </w:rPr>
        <w:t xml:space="preserve"> guide</w:t>
      </w:r>
      <w:r w:rsidR="00B110AA" w:rsidRPr="00141C7A">
        <w:rPr>
          <w:rFonts w:ascii="Aptos" w:hAnsi="Aptos"/>
          <w:color w:val="auto"/>
          <w:sz w:val="20"/>
          <w:szCs w:val="20"/>
        </w:rPr>
        <w:t xml:space="preserve">, providing a comprehensive breakdown of each of the </w:t>
      </w:r>
      <w:r w:rsidR="00660801">
        <w:rPr>
          <w:rFonts w:ascii="Aptos" w:hAnsi="Aptos"/>
          <w:color w:val="auto"/>
          <w:sz w:val="20"/>
          <w:szCs w:val="20"/>
        </w:rPr>
        <w:t>21</w:t>
      </w:r>
      <w:r w:rsidR="00B110AA" w:rsidRPr="00141C7A">
        <w:rPr>
          <w:rFonts w:ascii="Aptos" w:hAnsi="Aptos"/>
          <w:color w:val="auto"/>
          <w:sz w:val="20"/>
          <w:szCs w:val="20"/>
        </w:rPr>
        <w:t xml:space="preserve"> Control Objectives </w:t>
      </w:r>
      <w:r w:rsidR="000020C6">
        <w:rPr>
          <w:rFonts w:ascii="Aptos" w:hAnsi="Aptos"/>
          <w:color w:val="auto"/>
          <w:sz w:val="20"/>
          <w:szCs w:val="20"/>
        </w:rPr>
        <w:t xml:space="preserve">for the Initial AI Adoption Stage as </w:t>
      </w:r>
      <w:r w:rsidR="00B110AA" w:rsidRPr="00141C7A">
        <w:rPr>
          <w:rFonts w:ascii="Aptos" w:hAnsi="Aptos"/>
          <w:color w:val="auto"/>
          <w:sz w:val="20"/>
          <w:szCs w:val="20"/>
        </w:rPr>
        <w:t>defined in the Financial Services AI Risk Management Framework (FS AI RMF)</w:t>
      </w:r>
      <w:r w:rsidR="007967C9" w:rsidRPr="00141C7A">
        <w:rPr>
          <w:rFonts w:ascii="Aptos" w:hAnsi="Aptos"/>
          <w:color w:val="auto"/>
          <w:sz w:val="20"/>
          <w:szCs w:val="20"/>
        </w:rPr>
        <w:t xml:space="preserve">. This includes the contents </w:t>
      </w:r>
      <w:r w:rsidR="00B110AA" w:rsidRPr="00141C7A">
        <w:rPr>
          <w:rFonts w:ascii="Aptos" w:hAnsi="Aptos"/>
          <w:color w:val="auto"/>
          <w:sz w:val="20"/>
          <w:szCs w:val="20"/>
        </w:rPr>
        <w:t xml:space="preserve">of both the </w:t>
      </w:r>
      <w:r w:rsidR="004F627A" w:rsidRPr="00141C7A">
        <w:rPr>
          <w:rFonts w:ascii="Aptos" w:hAnsi="Aptos"/>
          <w:color w:val="auto"/>
          <w:sz w:val="20"/>
          <w:szCs w:val="20"/>
        </w:rPr>
        <w:t xml:space="preserve">FS AI RMF </w:t>
      </w:r>
      <w:r w:rsidR="00B110AA" w:rsidRPr="00141C7A">
        <w:rPr>
          <w:rFonts w:ascii="Aptos" w:hAnsi="Aptos"/>
          <w:color w:val="auto"/>
          <w:sz w:val="20"/>
          <w:szCs w:val="20"/>
        </w:rPr>
        <w:t>Guidebook</w:t>
      </w:r>
      <w:r w:rsidR="00451765" w:rsidRPr="00141C7A">
        <w:rPr>
          <w:rFonts w:ascii="Aptos" w:hAnsi="Aptos"/>
          <w:color w:val="auto"/>
          <w:sz w:val="20"/>
          <w:szCs w:val="20"/>
        </w:rPr>
        <w:t xml:space="preserve"> and</w:t>
      </w:r>
      <w:r w:rsidR="00B110AA" w:rsidRPr="00141C7A">
        <w:rPr>
          <w:rFonts w:ascii="Aptos" w:hAnsi="Aptos"/>
          <w:color w:val="auto"/>
          <w:sz w:val="20"/>
          <w:szCs w:val="20"/>
        </w:rPr>
        <w:t xml:space="preserve"> the Risk and Control Matrix.</w:t>
      </w:r>
    </w:p>
    <w:p w14:paraId="46A33944" w14:textId="77777777" w:rsidR="000A1C80" w:rsidRPr="00141C7A" w:rsidRDefault="000A1C80" w:rsidP="00141C7A">
      <w:pPr>
        <w:jc w:val="both"/>
        <w:rPr>
          <w:rFonts w:ascii="Aptos" w:hAnsi="Aptos"/>
          <w:color w:val="auto"/>
          <w:sz w:val="20"/>
          <w:szCs w:val="20"/>
        </w:rPr>
      </w:pPr>
    </w:p>
    <w:p w14:paraId="072EC82C" w14:textId="25AE4EE8" w:rsidR="00B110AA" w:rsidRDefault="000A1C80" w:rsidP="00141C7A">
      <w:pPr>
        <w:jc w:val="both"/>
        <w:rPr>
          <w:rFonts w:ascii="Aptos" w:hAnsi="Aptos"/>
          <w:color w:val="auto"/>
          <w:sz w:val="20"/>
          <w:szCs w:val="20"/>
        </w:rPr>
      </w:pPr>
      <w:r w:rsidRPr="00141C7A">
        <w:rPr>
          <w:rFonts w:ascii="Aptos" w:hAnsi="Aptos"/>
          <w:color w:val="auto"/>
          <w:sz w:val="20"/>
          <w:szCs w:val="20"/>
        </w:rPr>
        <w:t>The details of each Control Objective have been carefully</w:t>
      </w:r>
      <w:r w:rsidR="00B110AA" w:rsidRPr="00141C7A">
        <w:rPr>
          <w:rFonts w:ascii="Aptos" w:hAnsi="Aptos"/>
          <w:color w:val="auto"/>
          <w:sz w:val="20"/>
          <w:szCs w:val="20"/>
        </w:rPr>
        <w:t xml:space="preserve"> structured to </w:t>
      </w:r>
      <w:r w:rsidRPr="00141C7A">
        <w:rPr>
          <w:rFonts w:ascii="Aptos" w:hAnsi="Aptos"/>
          <w:color w:val="auto"/>
          <w:sz w:val="20"/>
          <w:szCs w:val="20"/>
        </w:rPr>
        <w:t>provide</w:t>
      </w:r>
      <w:r w:rsidR="00B110AA" w:rsidRPr="00141C7A">
        <w:rPr>
          <w:rFonts w:ascii="Aptos" w:hAnsi="Aptos"/>
          <w:color w:val="auto"/>
          <w:sz w:val="20"/>
          <w:szCs w:val="20"/>
        </w:rPr>
        <w:t xml:space="preserve"> a holistic understanding, from foundational alignment to practical implementation </w:t>
      </w:r>
      <w:r w:rsidRPr="00141C7A">
        <w:rPr>
          <w:rFonts w:ascii="Aptos" w:hAnsi="Aptos"/>
          <w:color w:val="auto"/>
          <w:sz w:val="20"/>
          <w:szCs w:val="20"/>
        </w:rPr>
        <w:t xml:space="preserve">guidelines and </w:t>
      </w:r>
      <w:r w:rsidR="00116A30" w:rsidRPr="00141C7A">
        <w:rPr>
          <w:rFonts w:ascii="Aptos" w:hAnsi="Aptos"/>
          <w:color w:val="auto"/>
          <w:sz w:val="20"/>
          <w:szCs w:val="20"/>
        </w:rPr>
        <w:t>examples</w:t>
      </w:r>
      <w:r w:rsidR="00B110AA" w:rsidRPr="00141C7A">
        <w:rPr>
          <w:rFonts w:ascii="Aptos" w:hAnsi="Aptos"/>
          <w:color w:val="auto"/>
          <w:sz w:val="20"/>
          <w:szCs w:val="20"/>
        </w:rPr>
        <w:t>.</w:t>
      </w:r>
    </w:p>
    <w:p w14:paraId="04627959" w14:textId="77777777" w:rsidR="00CC76D1" w:rsidRDefault="00CC76D1" w:rsidP="00141C7A">
      <w:pPr>
        <w:jc w:val="both"/>
        <w:rPr>
          <w:rFonts w:ascii="Aptos" w:hAnsi="Aptos"/>
          <w:color w:val="auto"/>
          <w:sz w:val="20"/>
          <w:szCs w:val="20"/>
        </w:rPr>
      </w:pPr>
    </w:p>
    <w:p w14:paraId="56C499B2" w14:textId="6264FB3A" w:rsidR="00CC76D1" w:rsidRPr="00141C7A" w:rsidRDefault="009A7BEE" w:rsidP="00141C7A">
      <w:pPr>
        <w:jc w:val="both"/>
        <w:rPr>
          <w:rFonts w:ascii="Aptos" w:hAnsi="Aptos"/>
          <w:color w:val="auto"/>
          <w:sz w:val="20"/>
          <w:szCs w:val="20"/>
        </w:rPr>
      </w:pPr>
      <w:r w:rsidRPr="009A7BEE">
        <w:rPr>
          <w:rFonts w:ascii="Aptos" w:hAnsi="Aptos"/>
          <w:b/>
          <w:bCs/>
          <w:color w:val="auto"/>
          <w:sz w:val="20"/>
          <w:szCs w:val="20"/>
          <w:u w:val="single"/>
        </w:rPr>
        <w:t>IMPORTANT</w:t>
      </w:r>
      <w:r>
        <w:rPr>
          <w:rFonts w:ascii="Aptos" w:hAnsi="Aptos"/>
          <w:color w:val="auto"/>
          <w:sz w:val="20"/>
          <w:szCs w:val="20"/>
        </w:rPr>
        <w:t>: Note</w:t>
      </w:r>
      <w:r w:rsidR="00CC76D1">
        <w:rPr>
          <w:rFonts w:ascii="Aptos" w:hAnsi="Aptos"/>
          <w:color w:val="auto"/>
          <w:sz w:val="20"/>
          <w:szCs w:val="20"/>
        </w:rPr>
        <w:t xml:space="preserve"> that, because this document has been customized to include the Initial AI Adoption Stage only, the numbers will not be sequential.</w:t>
      </w:r>
      <w:r>
        <w:rPr>
          <w:rFonts w:ascii="Aptos" w:hAnsi="Aptos"/>
          <w:color w:val="auto"/>
          <w:sz w:val="20"/>
          <w:szCs w:val="20"/>
        </w:rPr>
        <w:t xml:space="preserve"> They have been left as-is for the purposes of connecting back to the complete framework which includes all stages. </w:t>
      </w:r>
      <w:r w:rsidR="00CC76D1">
        <w:rPr>
          <w:rFonts w:ascii="Aptos" w:hAnsi="Aptos"/>
          <w:color w:val="auto"/>
          <w:sz w:val="20"/>
          <w:szCs w:val="20"/>
        </w:rPr>
        <w:t xml:space="preserve"> </w:t>
      </w:r>
    </w:p>
    <w:p w14:paraId="7EC57A2C" w14:textId="77777777" w:rsidR="00116A30" w:rsidRPr="00141C7A" w:rsidRDefault="00116A30" w:rsidP="00141C7A">
      <w:pPr>
        <w:jc w:val="both"/>
        <w:rPr>
          <w:rFonts w:ascii="Aptos" w:hAnsi="Aptos"/>
          <w:color w:val="auto"/>
          <w:sz w:val="20"/>
          <w:szCs w:val="20"/>
        </w:rPr>
      </w:pPr>
    </w:p>
    <w:p w14:paraId="28C1FE07" w14:textId="3346464F" w:rsidR="00B110AA" w:rsidRPr="00141C7A" w:rsidRDefault="00116A30" w:rsidP="00141C7A">
      <w:pPr>
        <w:jc w:val="both"/>
        <w:rPr>
          <w:rFonts w:ascii="Aptos" w:hAnsi="Aptos"/>
          <w:color w:val="auto"/>
          <w:sz w:val="20"/>
          <w:szCs w:val="20"/>
        </w:rPr>
      </w:pPr>
      <w:r w:rsidRPr="00141C7A">
        <w:rPr>
          <w:rFonts w:ascii="Aptos" w:hAnsi="Aptos"/>
          <w:color w:val="auto"/>
          <w:sz w:val="20"/>
          <w:szCs w:val="20"/>
        </w:rPr>
        <w:t xml:space="preserve">Each Control Objective contains the following information: </w:t>
      </w:r>
    </w:p>
    <w:p w14:paraId="776E2FD5" w14:textId="77777777" w:rsidR="00116A30" w:rsidRPr="00141C7A" w:rsidRDefault="00116A30" w:rsidP="00141C7A">
      <w:pPr>
        <w:jc w:val="both"/>
        <w:rPr>
          <w:rFonts w:ascii="Aptos" w:hAnsi="Aptos"/>
          <w:color w:val="auto"/>
          <w:sz w:val="20"/>
          <w:szCs w:val="20"/>
        </w:rPr>
      </w:pPr>
    </w:p>
    <w:p w14:paraId="353B154E" w14:textId="57076B7E" w:rsidR="00B110AA" w:rsidRPr="00141C7A" w:rsidRDefault="00B110AA" w:rsidP="00141C7A">
      <w:pPr>
        <w:numPr>
          <w:ilvl w:val="0"/>
          <w:numId w:val="6"/>
        </w:numPr>
        <w:jc w:val="both"/>
        <w:rPr>
          <w:rFonts w:ascii="Aptos" w:hAnsi="Aptos"/>
          <w:color w:val="auto"/>
          <w:sz w:val="20"/>
          <w:szCs w:val="20"/>
        </w:rPr>
      </w:pPr>
      <w:r w:rsidRPr="00141C7A">
        <w:rPr>
          <w:rFonts w:ascii="Aptos" w:hAnsi="Aptos"/>
          <w:b/>
          <w:bCs/>
          <w:color w:val="auto"/>
          <w:sz w:val="20"/>
          <w:szCs w:val="20"/>
        </w:rPr>
        <w:t>NIST AI RMF Alignment:</w:t>
      </w:r>
      <w:r w:rsidRPr="00141C7A">
        <w:rPr>
          <w:rFonts w:ascii="Aptos" w:hAnsi="Aptos"/>
          <w:color w:val="auto"/>
          <w:sz w:val="20"/>
          <w:szCs w:val="20"/>
        </w:rPr>
        <w:t> </w:t>
      </w:r>
      <w:r w:rsidR="00FD1C9C" w:rsidRPr="00141C7A">
        <w:rPr>
          <w:rFonts w:ascii="Aptos" w:hAnsi="Aptos"/>
          <w:color w:val="auto"/>
          <w:sz w:val="20"/>
          <w:szCs w:val="20"/>
        </w:rPr>
        <w:t>Identifying</w:t>
      </w:r>
      <w:r w:rsidRPr="00141C7A">
        <w:rPr>
          <w:rFonts w:ascii="Aptos" w:hAnsi="Aptos"/>
          <w:color w:val="auto"/>
          <w:sz w:val="20"/>
          <w:szCs w:val="20"/>
        </w:rPr>
        <w:t xml:space="preserve"> </w:t>
      </w:r>
      <w:r w:rsidR="00116A30" w:rsidRPr="00141C7A">
        <w:rPr>
          <w:rFonts w:ascii="Aptos" w:hAnsi="Aptos"/>
          <w:color w:val="auto"/>
          <w:sz w:val="20"/>
          <w:szCs w:val="20"/>
        </w:rPr>
        <w:t xml:space="preserve">the </w:t>
      </w:r>
      <w:r w:rsidRPr="00141C7A">
        <w:rPr>
          <w:rFonts w:ascii="Aptos" w:hAnsi="Aptos"/>
          <w:color w:val="auto"/>
          <w:sz w:val="20"/>
          <w:szCs w:val="20"/>
        </w:rPr>
        <w:t>corresponding NIST Function, Category, and Sub-Category, establishing its place within the broader framework.</w:t>
      </w:r>
    </w:p>
    <w:p w14:paraId="36AD251B" w14:textId="1FA8A425" w:rsidR="00B110AA" w:rsidRPr="00141C7A" w:rsidRDefault="00116A30" w:rsidP="00141C7A">
      <w:pPr>
        <w:numPr>
          <w:ilvl w:val="0"/>
          <w:numId w:val="6"/>
        </w:numPr>
        <w:jc w:val="both"/>
        <w:rPr>
          <w:rFonts w:ascii="Aptos" w:hAnsi="Aptos"/>
          <w:color w:val="auto"/>
          <w:sz w:val="20"/>
          <w:szCs w:val="20"/>
        </w:rPr>
      </w:pPr>
      <w:r w:rsidRPr="00141C7A">
        <w:rPr>
          <w:rFonts w:ascii="Aptos" w:hAnsi="Aptos"/>
          <w:b/>
          <w:bCs/>
          <w:color w:val="auto"/>
          <w:sz w:val="20"/>
          <w:szCs w:val="20"/>
        </w:rPr>
        <w:t>Control Objective</w:t>
      </w:r>
      <w:r w:rsidR="00B110AA" w:rsidRPr="00141C7A">
        <w:rPr>
          <w:rFonts w:ascii="Aptos" w:hAnsi="Aptos"/>
          <w:b/>
          <w:bCs/>
          <w:color w:val="auto"/>
          <w:sz w:val="20"/>
          <w:szCs w:val="20"/>
        </w:rPr>
        <w:t xml:space="preserve"> </w:t>
      </w:r>
      <w:r w:rsidR="002C3529" w:rsidRPr="00141C7A">
        <w:rPr>
          <w:rFonts w:ascii="Aptos" w:hAnsi="Aptos"/>
          <w:b/>
          <w:bCs/>
          <w:color w:val="auto"/>
          <w:sz w:val="20"/>
          <w:szCs w:val="20"/>
        </w:rPr>
        <w:t>Definition</w:t>
      </w:r>
      <w:r w:rsidR="00B110AA" w:rsidRPr="00141C7A">
        <w:rPr>
          <w:rFonts w:ascii="Aptos" w:hAnsi="Aptos"/>
          <w:b/>
          <w:bCs/>
          <w:color w:val="auto"/>
          <w:sz w:val="20"/>
          <w:szCs w:val="20"/>
        </w:rPr>
        <w:t>:</w:t>
      </w:r>
      <w:r w:rsidR="00B110AA" w:rsidRPr="00141C7A">
        <w:rPr>
          <w:rFonts w:ascii="Aptos" w:hAnsi="Aptos"/>
          <w:color w:val="auto"/>
          <w:sz w:val="20"/>
          <w:szCs w:val="20"/>
        </w:rPr>
        <w:t xml:space="preserve"> Including a unique Control Objective ID, a </w:t>
      </w:r>
      <w:r w:rsidR="002C3529" w:rsidRPr="00141C7A">
        <w:rPr>
          <w:rFonts w:ascii="Aptos" w:hAnsi="Aptos"/>
          <w:color w:val="auto"/>
          <w:sz w:val="20"/>
          <w:szCs w:val="20"/>
        </w:rPr>
        <w:t>Control Objective</w:t>
      </w:r>
      <w:r w:rsidR="00B110AA" w:rsidRPr="00141C7A">
        <w:rPr>
          <w:rFonts w:ascii="Aptos" w:hAnsi="Aptos"/>
          <w:color w:val="auto"/>
          <w:sz w:val="20"/>
          <w:szCs w:val="20"/>
        </w:rPr>
        <w:t xml:space="preserve"> Name, and a clear </w:t>
      </w:r>
      <w:r w:rsidR="00050136" w:rsidRPr="00141C7A">
        <w:rPr>
          <w:rFonts w:ascii="Aptos" w:hAnsi="Aptos"/>
          <w:color w:val="auto"/>
          <w:sz w:val="20"/>
          <w:szCs w:val="20"/>
        </w:rPr>
        <w:t>d</w:t>
      </w:r>
      <w:r w:rsidR="00B110AA" w:rsidRPr="00141C7A">
        <w:rPr>
          <w:rFonts w:ascii="Aptos" w:hAnsi="Aptos"/>
          <w:color w:val="auto"/>
          <w:sz w:val="20"/>
          <w:szCs w:val="20"/>
        </w:rPr>
        <w:t>escription outlining its purpose and scope.</w:t>
      </w:r>
    </w:p>
    <w:p w14:paraId="2B75597F" w14:textId="3575C540" w:rsidR="00B110AA" w:rsidRPr="00141C7A" w:rsidRDefault="002C3529" w:rsidP="00141C7A">
      <w:pPr>
        <w:numPr>
          <w:ilvl w:val="0"/>
          <w:numId w:val="6"/>
        </w:numPr>
        <w:jc w:val="both"/>
        <w:rPr>
          <w:rFonts w:ascii="Aptos" w:hAnsi="Aptos"/>
          <w:color w:val="auto"/>
          <w:sz w:val="20"/>
          <w:szCs w:val="20"/>
        </w:rPr>
      </w:pPr>
      <w:r w:rsidRPr="00141C7A">
        <w:rPr>
          <w:rFonts w:ascii="Aptos" w:hAnsi="Aptos"/>
          <w:b/>
          <w:bCs/>
          <w:color w:val="auto"/>
          <w:sz w:val="20"/>
          <w:szCs w:val="20"/>
        </w:rPr>
        <w:t>Link</w:t>
      </w:r>
      <w:r w:rsidR="00050136" w:rsidRPr="00141C7A">
        <w:rPr>
          <w:rFonts w:ascii="Aptos" w:hAnsi="Aptos"/>
          <w:b/>
          <w:bCs/>
          <w:color w:val="auto"/>
          <w:sz w:val="20"/>
          <w:szCs w:val="20"/>
        </w:rPr>
        <w:t xml:space="preserve"> </w:t>
      </w:r>
      <w:r w:rsidRPr="00141C7A">
        <w:rPr>
          <w:rFonts w:ascii="Aptos" w:hAnsi="Aptos"/>
          <w:b/>
          <w:bCs/>
          <w:color w:val="auto"/>
          <w:sz w:val="20"/>
          <w:szCs w:val="20"/>
        </w:rPr>
        <w:t xml:space="preserve">to </w:t>
      </w:r>
      <w:r w:rsidR="00050136" w:rsidRPr="00141C7A">
        <w:rPr>
          <w:rFonts w:ascii="Aptos" w:hAnsi="Aptos"/>
          <w:b/>
          <w:bCs/>
          <w:color w:val="auto"/>
          <w:sz w:val="20"/>
          <w:szCs w:val="20"/>
        </w:rPr>
        <w:t xml:space="preserve">the </w:t>
      </w:r>
      <w:r w:rsidRPr="00141C7A">
        <w:rPr>
          <w:rFonts w:ascii="Aptos" w:hAnsi="Aptos"/>
          <w:b/>
          <w:bCs/>
          <w:color w:val="auto"/>
          <w:sz w:val="20"/>
          <w:szCs w:val="20"/>
        </w:rPr>
        <w:t>NIST</w:t>
      </w:r>
      <w:r w:rsidR="00050136" w:rsidRPr="00141C7A">
        <w:rPr>
          <w:rFonts w:ascii="Aptos" w:hAnsi="Aptos"/>
          <w:b/>
          <w:bCs/>
          <w:color w:val="auto"/>
          <w:sz w:val="20"/>
          <w:szCs w:val="20"/>
        </w:rPr>
        <w:t xml:space="preserve"> AI RMF Playbook</w:t>
      </w:r>
      <w:r w:rsidR="00B110AA" w:rsidRPr="00141C7A">
        <w:rPr>
          <w:rFonts w:ascii="Aptos" w:hAnsi="Aptos"/>
          <w:b/>
          <w:bCs/>
          <w:color w:val="auto"/>
          <w:sz w:val="20"/>
          <w:szCs w:val="20"/>
        </w:rPr>
        <w:t>:</w:t>
      </w:r>
      <w:r w:rsidR="00B110AA" w:rsidRPr="00141C7A">
        <w:rPr>
          <w:rFonts w:ascii="Aptos" w:hAnsi="Aptos"/>
          <w:color w:val="auto"/>
          <w:sz w:val="20"/>
          <w:szCs w:val="20"/>
        </w:rPr>
        <w:t> A direct Link to the NIST AI RMF Playbook for additional context and guidance.</w:t>
      </w:r>
    </w:p>
    <w:p w14:paraId="4FF72B10" w14:textId="62FD4C07" w:rsidR="00B110AA" w:rsidRPr="00141C7A" w:rsidRDefault="00FD1C9C" w:rsidP="00141C7A">
      <w:pPr>
        <w:numPr>
          <w:ilvl w:val="0"/>
          <w:numId w:val="6"/>
        </w:numPr>
        <w:jc w:val="both"/>
        <w:rPr>
          <w:rFonts w:ascii="Aptos" w:hAnsi="Aptos"/>
          <w:color w:val="auto"/>
          <w:sz w:val="20"/>
          <w:szCs w:val="20"/>
        </w:rPr>
      </w:pPr>
      <w:r w:rsidRPr="00141C7A">
        <w:rPr>
          <w:rFonts w:ascii="Aptos" w:hAnsi="Aptos"/>
          <w:b/>
          <w:bCs/>
          <w:color w:val="auto"/>
          <w:sz w:val="20"/>
          <w:szCs w:val="20"/>
        </w:rPr>
        <w:t xml:space="preserve">Adoption Stage </w:t>
      </w:r>
      <w:r w:rsidR="002A5772" w:rsidRPr="00141C7A">
        <w:rPr>
          <w:rFonts w:ascii="Aptos" w:hAnsi="Aptos"/>
          <w:b/>
          <w:bCs/>
          <w:color w:val="auto"/>
          <w:sz w:val="20"/>
          <w:szCs w:val="20"/>
        </w:rPr>
        <w:t>Applicability</w:t>
      </w:r>
      <w:r w:rsidR="00B110AA" w:rsidRPr="00141C7A">
        <w:rPr>
          <w:rFonts w:ascii="Aptos" w:hAnsi="Aptos"/>
          <w:b/>
          <w:bCs/>
          <w:color w:val="auto"/>
          <w:sz w:val="20"/>
          <w:szCs w:val="20"/>
        </w:rPr>
        <w:t>:</w:t>
      </w:r>
      <w:r w:rsidR="00B110AA" w:rsidRPr="00141C7A">
        <w:rPr>
          <w:rFonts w:ascii="Aptos" w:hAnsi="Aptos"/>
          <w:color w:val="auto"/>
          <w:sz w:val="20"/>
          <w:szCs w:val="20"/>
        </w:rPr>
        <w:t> </w:t>
      </w:r>
      <w:r w:rsidR="002A5772" w:rsidRPr="00141C7A">
        <w:rPr>
          <w:rFonts w:ascii="Aptos" w:hAnsi="Aptos"/>
          <w:color w:val="auto"/>
          <w:sz w:val="20"/>
          <w:szCs w:val="20"/>
        </w:rPr>
        <w:t>Indicating which Adoption Stage(s) apply</w:t>
      </w:r>
      <w:r w:rsidR="00050136" w:rsidRPr="00141C7A">
        <w:rPr>
          <w:rFonts w:ascii="Aptos" w:hAnsi="Aptos"/>
          <w:color w:val="auto"/>
          <w:sz w:val="20"/>
          <w:szCs w:val="20"/>
        </w:rPr>
        <w:t xml:space="preserve"> (</w:t>
      </w:r>
      <w:r w:rsidR="00B110AA" w:rsidRPr="00141C7A">
        <w:rPr>
          <w:rFonts w:ascii="Aptos" w:hAnsi="Aptos"/>
          <w:color w:val="auto"/>
          <w:sz w:val="20"/>
          <w:szCs w:val="20"/>
        </w:rPr>
        <w:t>Initial, Minimal, Evolving, and</w:t>
      </w:r>
      <w:r w:rsidR="00050136" w:rsidRPr="00141C7A">
        <w:rPr>
          <w:rFonts w:ascii="Aptos" w:hAnsi="Aptos"/>
          <w:color w:val="auto"/>
          <w:sz w:val="20"/>
          <w:szCs w:val="20"/>
        </w:rPr>
        <w:t>/or</w:t>
      </w:r>
      <w:r w:rsidR="00B110AA" w:rsidRPr="00141C7A">
        <w:rPr>
          <w:rFonts w:ascii="Aptos" w:hAnsi="Aptos"/>
          <w:color w:val="auto"/>
          <w:sz w:val="20"/>
          <w:szCs w:val="20"/>
        </w:rPr>
        <w:t xml:space="preserve"> Embedded)</w:t>
      </w:r>
      <w:r w:rsidR="00050136" w:rsidRPr="00141C7A">
        <w:rPr>
          <w:rFonts w:ascii="Aptos" w:hAnsi="Aptos"/>
          <w:color w:val="auto"/>
          <w:sz w:val="20"/>
          <w:szCs w:val="20"/>
        </w:rPr>
        <w:t xml:space="preserve"> and the rationale, enabling organizations to focus on the most relevant information</w:t>
      </w:r>
      <w:r w:rsidR="00B110AA" w:rsidRPr="00141C7A">
        <w:rPr>
          <w:rFonts w:ascii="Aptos" w:hAnsi="Aptos"/>
          <w:color w:val="auto"/>
          <w:sz w:val="20"/>
          <w:szCs w:val="20"/>
        </w:rPr>
        <w:t>.</w:t>
      </w:r>
    </w:p>
    <w:p w14:paraId="583BDB0E" w14:textId="2EBFAF85" w:rsidR="00B110AA" w:rsidRPr="00141C7A" w:rsidRDefault="00050136" w:rsidP="00141C7A">
      <w:pPr>
        <w:numPr>
          <w:ilvl w:val="0"/>
          <w:numId w:val="6"/>
        </w:numPr>
        <w:jc w:val="both"/>
        <w:rPr>
          <w:rFonts w:ascii="Aptos" w:hAnsi="Aptos"/>
          <w:color w:val="auto"/>
          <w:sz w:val="20"/>
          <w:szCs w:val="20"/>
        </w:rPr>
      </w:pPr>
      <w:r w:rsidRPr="00141C7A">
        <w:rPr>
          <w:rFonts w:ascii="Aptos" w:hAnsi="Aptos"/>
          <w:b/>
          <w:bCs/>
          <w:color w:val="auto"/>
          <w:sz w:val="20"/>
          <w:szCs w:val="20"/>
        </w:rPr>
        <w:t>Alignment to Risks and AI Trustworthy Principle(s)</w:t>
      </w:r>
      <w:r w:rsidR="00B110AA" w:rsidRPr="00141C7A">
        <w:rPr>
          <w:rFonts w:ascii="Aptos" w:hAnsi="Aptos"/>
          <w:b/>
          <w:bCs/>
          <w:color w:val="auto"/>
          <w:sz w:val="20"/>
          <w:szCs w:val="20"/>
        </w:rPr>
        <w:t>:</w:t>
      </w:r>
      <w:r w:rsidR="00B110AA" w:rsidRPr="00141C7A">
        <w:rPr>
          <w:rFonts w:ascii="Aptos" w:hAnsi="Aptos"/>
          <w:color w:val="auto"/>
          <w:sz w:val="20"/>
          <w:szCs w:val="20"/>
        </w:rPr>
        <w:t xml:space="preserve"> Highlighting the underlying AI </w:t>
      </w:r>
      <w:r w:rsidRPr="00141C7A">
        <w:rPr>
          <w:rFonts w:ascii="Aptos" w:hAnsi="Aptos"/>
          <w:color w:val="auto"/>
          <w:sz w:val="20"/>
          <w:szCs w:val="20"/>
        </w:rPr>
        <w:t xml:space="preserve">Trustworthy </w:t>
      </w:r>
      <w:r w:rsidR="00B110AA" w:rsidRPr="00141C7A">
        <w:rPr>
          <w:rFonts w:ascii="Aptos" w:hAnsi="Aptos"/>
          <w:color w:val="auto"/>
          <w:sz w:val="20"/>
          <w:szCs w:val="20"/>
        </w:rPr>
        <w:t>Principle it upholds, alongside an associated Risk Name and a descriptive Risk Statement to clarify the specific threats the objective aims to mitigate.</w:t>
      </w:r>
    </w:p>
    <w:p w14:paraId="0B4F848D" w14:textId="72087ADB" w:rsidR="00B110AA" w:rsidRPr="00141C7A" w:rsidRDefault="00B110AA" w:rsidP="00141C7A">
      <w:pPr>
        <w:numPr>
          <w:ilvl w:val="0"/>
          <w:numId w:val="6"/>
        </w:numPr>
        <w:jc w:val="both"/>
        <w:rPr>
          <w:rFonts w:ascii="Aptos" w:hAnsi="Aptos"/>
          <w:color w:val="auto"/>
          <w:sz w:val="20"/>
          <w:szCs w:val="20"/>
        </w:rPr>
      </w:pPr>
      <w:r w:rsidRPr="00141C7A">
        <w:rPr>
          <w:rFonts w:ascii="Aptos" w:hAnsi="Aptos"/>
          <w:b/>
          <w:bCs/>
          <w:color w:val="auto"/>
          <w:sz w:val="20"/>
          <w:szCs w:val="20"/>
        </w:rPr>
        <w:t>Actionable Implementation</w:t>
      </w:r>
      <w:r w:rsidR="00050136" w:rsidRPr="00141C7A">
        <w:rPr>
          <w:rFonts w:ascii="Aptos" w:hAnsi="Aptos"/>
          <w:b/>
          <w:bCs/>
          <w:color w:val="auto"/>
          <w:sz w:val="20"/>
          <w:szCs w:val="20"/>
        </w:rPr>
        <w:t xml:space="preserve"> Guidelines</w:t>
      </w:r>
      <w:r w:rsidRPr="00141C7A">
        <w:rPr>
          <w:rFonts w:ascii="Aptos" w:hAnsi="Aptos"/>
          <w:b/>
          <w:bCs/>
          <w:color w:val="auto"/>
          <w:sz w:val="20"/>
          <w:szCs w:val="20"/>
        </w:rPr>
        <w:t>:</w:t>
      </w:r>
      <w:r w:rsidRPr="00141C7A">
        <w:rPr>
          <w:rFonts w:ascii="Aptos" w:hAnsi="Aptos"/>
          <w:color w:val="auto"/>
          <w:sz w:val="20"/>
          <w:szCs w:val="20"/>
        </w:rPr>
        <w:t> </w:t>
      </w:r>
      <w:r w:rsidR="00050136" w:rsidRPr="00141C7A">
        <w:rPr>
          <w:rFonts w:ascii="Aptos" w:hAnsi="Aptos"/>
          <w:color w:val="auto"/>
          <w:sz w:val="20"/>
          <w:szCs w:val="20"/>
        </w:rPr>
        <w:t xml:space="preserve">Providing detailed instructions, </w:t>
      </w:r>
      <w:r w:rsidRPr="00141C7A">
        <w:rPr>
          <w:rFonts w:ascii="Aptos" w:hAnsi="Aptos"/>
          <w:color w:val="auto"/>
          <w:sz w:val="20"/>
          <w:szCs w:val="20"/>
        </w:rPr>
        <w:t>practical steps</w:t>
      </w:r>
      <w:r w:rsidR="00050136" w:rsidRPr="00141C7A">
        <w:rPr>
          <w:rFonts w:ascii="Aptos" w:hAnsi="Aptos"/>
          <w:color w:val="auto"/>
          <w:sz w:val="20"/>
          <w:szCs w:val="20"/>
        </w:rPr>
        <w:t>,</w:t>
      </w:r>
      <w:r w:rsidRPr="00141C7A">
        <w:rPr>
          <w:rFonts w:ascii="Aptos" w:hAnsi="Aptos"/>
          <w:color w:val="auto"/>
          <w:sz w:val="20"/>
          <w:szCs w:val="20"/>
        </w:rPr>
        <w:t xml:space="preserve"> and recommendations for effectively achieving the </w:t>
      </w:r>
      <w:r w:rsidR="00050136" w:rsidRPr="00141C7A">
        <w:rPr>
          <w:rFonts w:ascii="Aptos" w:hAnsi="Aptos"/>
          <w:color w:val="auto"/>
          <w:sz w:val="20"/>
          <w:szCs w:val="20"/>
        </w:rPr>
        <w:t>C</w:t>
      </w:r>
      <w:r w:rsidRPr="00141C7A">
        <w:rPr>
          <w:rFonts w:ascii="Aptos" w:hAnsi="Aptos"/>
          <w:color w:val="auto"/>
          <w:sz w:val="20"/>
          <w:szCs w:val="20"/>
        </w:rPr>
        <w:t xml:space="preserve">ontrol </w:t>
      </w:r>
      <w:r w:rsidR="00050136" w:rsidRPr="00141C7A">
        <w:rPr>
          <w:rFonts w:ascii="Aptos" w:hAnsi="Aptos"/>
          <w:color w:val="auto"/>
          <w:sz w:val="20"/>
          <w:szCs w:val="20"/>
        </w:rPr>
        <w:t>O</w:t>
      </w:r>
      <w:r w:rsidRPr="00141C7A">
        <w:rPr>
          <w:rFonts w:ascii="Aptos" w:hAnsi="Aptos"/>
          <w:color w:val="auto"/>
          <w:sz w:val="20"/>
          <w:szCs w:val="20"/>
        </w:rPr>
        <w:t>bjective.</w:t>
      </w:r>
    </w:p>
    <w:p w14:paraId="049CCE3F" w14:textId="32794969" w:rsidR="00B110AA" w:rsidRPr="00141C7A" w:rsidRDefault="00050136" w:rsidP="00141C7A">
      <w:pPr>
        <w:numPr>
          <w:ilvl w:val="0"/>
          <w:numId w:val="6"/>
        </w:numPr>
        <w:jc w:val="both"/>
        <w:rPr>
          <w:rFonts w:ascii="Aptos" w:hAnsi="Aptos"/>
          <w:color w:val="auto"/>
          <w:sz w:val="20"/>
          <w:szCs w:val="20"/>
        </w:rPr>
      </w:pPr>
      <w:r w:rsidRPr="00141C7A">
        <w:rPr>
          <w:rFonts w:ascii="Aptos" w:hAnsi="Aptos"/>
          <w:b/>
          <w:bCs/>
          <w:color w:val="auto"/>
          <w:sz w:val="20"/>
          <w:szCs w:val="20"/>
        </w:rPr>
        <w:t>Example Controls and Effective Evidence</w:t>
      </w:r>
      <w:r w:rsidR="00B110AA" w:rsidRPr="00141C7A">
        <w:rPr>
          <w:rFonts w:ascii="Aptos" w:hAnsi="Aptos"/>
          <w:b/>
          <w:bCs/>
          <w:color w:val="auto"/>
          <w:sz w:val="20"/>
          <w:szCs w:val="20"/>
        </w:rPr>
        <w:t>:</w:t>
      </w:r>
      <w:r w:rsidR="00B110AA" w:rsidRPr="00141C7A">
        <w:rPr>
          <w:rFonts w:ascii="Aptos" w:hAnsi="Aptos"/>
          <w:color w:val="auto"/>
          <w:sz w:val="20"/>
          <w:szCs w:val="20"/>
        </w:rPr>
        <w:t> </w:t>
      </w:r>
      <w:r w:rsidRPr="00141C7A">
        <w:rPr>
          <w:rFonts w:ascii="Aptos" w:hAnsi="Aptos"/>
          <w:color w:val="auto"/>
          <w:sz w:val="20"/>
          <w:szCs w:val="20"/>
        </w:rPr>
        <w:t>Five example Controls, e</w:t>
      </w:r>
      <w:r w:rsidR="00B110AA" w:rsidRPr="00141C7A">
        <w:rPr>
          <w:rFonts w:ascii="Aptos" w:hAnsi="Aptos"/>
          <w:color w:val="auto"/>
          <w:sz w:val="20"/>
          <w:szCs w:val="20"/>
        </w:rPr>
        <w:t xml:space="preserve">ach with a clear </w:t>
      </w:r>
      <w:r w:rsidRPr="00141C7A">
        <w:rPr>
          <w:rFonts w:ascii="Aptos" w:hAnsi="Aptos"/>
          <w:color w:val="auto"/>
          <w:sz w:val="20"/>
          <w:szCs w:val="20"/>
        </w:rPr>
        <w:t>d</w:t>
      </w:r>
      <w:r w:rsidR="00B110AA" w:rsidRPr="00141C7A">
        <w:rPr>
          <w:rFonts w:ascii="Aptos" w:hAnsi="Aptos"/>
          <w:color w:val="auto"/>
          <w:sz w:val="20"/>
          <w:szCs w:val="20"/>
        </w:rPr>
        <w:t>escription of the action, complemented by</w:t>
      </w:r>
      <w:r w:rsidRPr="00141C7A">
        <w:rPr>
          <w:rFonts w:ascii="Aptos" w:hAnsi="Aptos"/>
          <w:color w:val="auto"/>
          <w:sz w:val="20"/>
          <w:szCs w:val="20"/>
        </w:rPr>
        <w:t xml:space="preserve"> four e</w:t>
      </w:r>
      <w:r w:rsidR="00B110AA" w:rsidRPr="00141C7A">
        <w:rPr>
          <w:rFonts w:ascii="Aptos" w:hAnsi="Aptos"/>
          <w:color w:val="auto"/>
          <w:sz w:val="20"/>
          <w:szCs w:val="20"/>
        </w:rPr>
        <w:t>xamples of Effective Evidence to demonstrate successful implementation and adherence.</w:t>
      </w:r>
    </w:p>
    <w:p w14:paraId="1ACF3A46" w14:textId="77777777" w:rsidR="00D60A48" w:rsidRPr="004C3837" w:rsidRDefault="00D60A48" w:rsidP="00D60A48">
      <w:pPr>
        <w:spacing w:line="269" w:lineRule="auto"/>
        <w:jc w:val="both"/>
        <w:rPr>
          <w:rFonts w:ascii="Aptos" w:hAnsi="Aptos"/>
          <w:color w:val="auto"/>
          <w:sz w:val="20"/>
          <w:szCs w:val="20"/>
        </w:rPr>
      </w:pPr>
    </w:p>
    <w:p w14:paraId="32DFE8E8" w14:textId="3DF4DFCB" w:rsidR="00DA19A1" w:rsidRPr="004C3837" w:rsidRDefault="00DA19A1" w:rsidP="00DA19A1">
      <w:pPr>
        <w:spacing w:line="269" w:lineRule="auto"/>
        <w:jc w:val="both"/>
        <w:rPr>
          <w:rFonts w:ascii="Aptos" w:hAnsi="Aptos"/>
          <w:b/>
          <w:bCs/>
          <w:color w:val="34246B" w:themeColor="accent2"/>
          <w:sz w:val="28"/>
          <w:szCs w:val="28"/>
        </w:rPr>
      </w:pPr>
      <w:r w:rsidRPr="004C3837">
        <w:rPr>
          <w:rFonts w:ascii="Aptos" w:hAnsi="Aptos"/>
          <w:b/>
          <w:bCs/>
          <w:color w:val="34246B" w:themeColor="accent2"/>
          <w:sz w:val="28"/>
          <w:szCs w:val="28"/>
        </w:rPr>
        <w:t>DISCLAIMER</w:t>
      </w:r>
    </w:p>
    <w:p w14:paraId="3B9F9655" w14:textId="5B7F4679" w:rsidR="00141C7A" w:rsidRPr="00141C7A" w:rsidRDefault="00141C7A" w:rsidP="00141C7A">
      <w:pPr>
        <w:rPr>
          <w:sz w:val="20"/>
          <w:szCs w:val="20"/>
        </w:rPr>
      </w:pPr>
    </w:p>
    <w:p w14:paraId="169E5B2B" w14:textId="2359DB36" w:rsidR="00141C7A" w:rsidRDefault="00141C7A" w:rsidP="00141C7A">
      <w:pPr>
        <w:jc w:val="both"/>
        <w:rPr>
          <w:rFonts w:ascii="Aptos" w:hAnsi="Aptos"/>
          <w:color w:val="auto"/>
          <w:sz w:val="20"/>
          <w:szCs w:val="20"/>
        </w:rPr>
      </w:pPr>
      <w:r w:rsidRPr="00854139">
        <w:rPr>
          <w:rFonts w:ascii="Aptos" w:hAnsi="Aptos"/>
          <w:color w:val="auto"/>
          <w:sz w:val="20"/>
          <w:szCs w:val="20"/>
        </w:rPr>
        <w:t xml:space="preserve">Please </w:t>
      </w:r>
      <w:r>
        <w:rPr>
          <w:rFonts w:ascii="Aptos" w:hAnsi="Aptos"/>
          <w:color w:val="auto"/>
          <w:sz w:val="20"/>
          <w:szCs w:val="20"/>
        </w:rPr>
        <w:t>note</w:t>
      </w:r>
      <w:r w:rsidRPr="00854139">
        <w:rPr>
          <w:rFonts w:ascii="Aptos" w:hAnsi="Aptos"/>
          <w:color w:val="auto"/>
          <w:sz w:val="20"/>
          <w:szCs w:val="20"/>
        </w:rPr>
        <w:t xml:space="preserve"> that the examples of Controls and Effective Evidence provided in </w:t>
      </w:r>
      <w:r w:rsidR="004C3837">
        <w:rPr>
          <w:rFonts w:ascii="Aptos" w:hAnsi="Aptos"/>
          <w:color w:val="auto"/>
          <w:sz w:val="20"/>
          <w:szCs w:val="20"/>
        </w:rPr>
        <w:t>this</w:t>
      </w:r>
      <w:r w:rsidRPr="00854139">
        <w:rPr>
          <w:rFonts w:ascii="Aptos" w:hAnsi="Aptos"/>
          <w:color w:val="auto"/>
          <w:sz w:val="20"/>
          <w:szCs w:val="20"/>
        </w:rPr>
        <w:t xml:space="preserve"> Control Objective Reference Guide are intended to serve </w:t>
      </w:r>
      <w:r>
        <w:rPr>
          <w:rFonts w:ascii="Aptos" w:hAnsi="Aptos"/>
          <w:color w:val="auto"/>
          <w:sz w:val="20"/>
          <w:szCs w:val="20"/>
        </w:rPr>
        <w:t>only</w:t>
      </w:r>
      <w:r w:rsidRPr="00854139">
        <w:rPr>
          <w:rFonts w:ascii="Aptos" w:hAnsi="Aptos"/>
          <w:color w:val="auto"/>
          <w:sz w:val="20"/>
          <w:szCs w:val="20"/>
        </w:rPr>
        <w:t xml:space="preserve"> as illustrative guides. They are not exhaustive, exclusive, or all-encompassing lists and should not be interpreted as a definitive guarantee for meeting regulatory or audit expectations. The suitability and applicability of these examples may vary across organizations, and different </w:t>
      </w:r>
      <w:r>
        <w:rPr>
          <w:rFonts w:ascii="Aptos" w:hAnsi="Aptos"/>
          <w:color w:val="auto"/>
          <w:sz w:val="20"/>
          <w:szCs w:val="20"/>
        </w:rPr>
        <w:t>E</w:t>
      </w:r>
      <w:r w:rsidRPr="00854139">
        <w:rPr>
          <w:rFonts w:ascii="Aptos" w:hAnsi="Aptos"/>
          <w:color w:val="auto"/>
          <w:sz w:val="20"/>
          <w:szCs w:val="20"/>
        </w:rPr>
        <w:t>vidence might provide greater value in specific contexts.</w:t>
      </w:r>
    </w:p>
    <w:p w14:paraId="541C30E0" w14:textId="77777777" w:rsidR="00141C7A" w:rsidRPr="00854139" w:rsidRDefault="00141C7A" w:rsidP="00141C7A">
      <w:pPr>
        <w:jc w:val="both"/>
        <w:rPr>
          <w:rFonts w:ascii="Aptos" w:hAnsi="Aptos"/>
          <w:color w:val="auto"/>
          <w:sz w:val="20"/>
          <w:szCs w:val="20"/>
        </w:rPr>
      </w:pPr>
    </w:p>
    <w:p w14:paraId="588BF151" w14:textId="77777777" w:rsidR="00141C7A" w:rsidRPr="00854139" w:rsidRDefault="00141C7A" w:rsidP="00141C7A">
      <w:pPr>
        <w:jc w:val="both"/>
        <w:rPr>
          <w:rFonts w:ascii="Aptos" w:hAnsi="Aptos"/>
          <w:color w:val="auto"/>
          <w:sz w:val="20"/>
          <w:szCs w:val="20"/>
        </w:rPr>
      </w:pPr>
      <w:r w:rsidRPr="00854139">
        <w:rPr>
          <w:rFonts w:ascii="Aptos" w:hAnsi="Aptos"/>
          <w:color w:val="auto"/>
          <w:sz w:val="20"/>
          <w:szCs w:val="20"/>
        </w:rPr>
        <w:t xml:space="preserve">Users of the FS AI RMF should critically assess the adequacy and relevance of the </w:t>
      </w:r>
      <w:r>
        <w:rPr>
          <w:rFonts w:ascii="Aptos" w:hAnsi="Aptos"/>
          <w:color w:val="auto"/>
          <w:sz w:val="20"/>
          <w:szCs w:val="20"/>
        </w:rPr>
        <w:t>Controls and E</w:t>
      </w:r>
      <w:r w:rsidRPr="00854139">
        <w:rPr>
          <w:rFonts w:ascii="Aptos" w:hAnsi="Aptos"/>
          <w:color w:val="auto"/>
          <w:sz w:val="20"/>
          <w:szCs w:val="20"/>
        </w:rPr>
        <w:t xml:space="preserve">vidence presented to adequately substantiate their responses, weighing it against the resources and investment required to produce such </w:t>
      </w:r>
      <w:r>
        <w:rPr>
          <w:rFonts w:ascii="Aptos" w:hAnsi="Aptos"/>
          <w:color w:val="auto"/>
          <w:sz w:val="20"/>
          <w:szCs w:val="20"/>
        </w:rPr>
        <w:t>E</w:t>
      </w:r>
      <w:r w:rsidRPr="00854139">
        <w:rPr>
          <w:rFonts w:ascii="Aptos" w:hAnsi="Aptos"/>
          <w:color w:val="auto"/>
          <w:sz w:val="20"/>
          <w:szCs w:val="20"/>
        </w:rPr>
        <w:t xml:space="preserve">vidence. It is important to note that there should be no presumption that all, or even most, of the examples of </w:t>
      </w:r>
      <w:r>
        <w:rPr>
          <w:rFonts w:ascii="Aptos" w:hAnsi="Aptos"/>
          <w:color w:val="auto"/>
          <w:sz w:val="20"/>
          <w:szCs w:val="20"/>
        </w:rPr>
        <w:t xml:space="preserve">Controls and </w:t>
      </w:r>
      <w:r w:rsidRPr="00854139">
        <w:rPr>
          <w:rFonts w:ascii="Aptos" w:hAnsi="Aptos"/>
          <w:color w:val="auto"/>
          <w:sz w:val="20"/>
          <w:szCs w:val="20"/>
        </w:rPr>
        <w:t xml:space="preserve">Effective Evidence included are necessary, advisable, or appropriate for supporting the organization’s </w:t>
      </w:r>
      <w:r>
        <w:rPr>
          <w:rFonts w:ascii="Aptos" w:hAnsi="Aptos"/>
          <w:color w:val="auto"/>
          <w:sz w:val="20"/>
          <w:szCs w:val="20"/>
        </w:rPr>
        <w:t>compliance</w:t>
      </w:r>
      <w:r w:rsidRPr="00854139">
        <w:rPr>
          <w:rFonts w:ascii="Aptos" w:hAnsi="Aptos"/>
          <w:color w:val="auto"/>
          <w:sz w:val="20"/>
          <w:szCs w:val="20"/>
        </w:rPr>
        <w:t xml:space="preserve"> assertions. Organizations are encouraged to tailor their approach to their specific context and regulatory environment.</w:t>
      </w:r>
    </w:p>
    <w:p w14:paraId="1B5C9771" w14:textId="76C4BEA0" w:rsidR="00D60A48" w:rsidRDefault="00D60A48">
      <w:pPr>
        <w:rPr>
          <w:rFonts w:ascii="Aptos" w:hAnsi="Aptos"/>
          <w:color w:val="auto"/>
        </w:rPr>
      </w:pPr>
      <w:r>
        <w:rPr>
          <w:rFonts w:ascii="Aptos" w:hAnsi="Aptos"/>
          <w:color w:val="auto"/>
        </w:rPr>
        <w:br w:type="page"/>
      </w:r>
    </w:p>
    <w:sdt>
      <w:sdtPr>
        <w:rPr>
          <w:rFonts w:asciiTheme="minorHAnsi" w:eastAsia="Century Gothic" w:hAnsiTheme="minorHAnsi" w:cstheme="minorHAnsi"/>
          <w:color w:val="53585F" w:themeColor="text2"/>
          <w:sz w:val="22"/>
          <w:szCs w:val="24"/>
        </w:rPr>
        <w:id w:val="796034798"/>
        <w:docPartObj>
          <w:docPartGallery w:val="Table of Contents"/>
          <w:docPartUnique/>
        </w:docPartObj>
      </w:sdtPr>
      <w:sdtEndPr>
        <w:rPr>
          <w:b/>
          <w:bCs/>
          <w:noProof/>
        </w:rPr>
      </w:sdtEndPr>
      <w:sdtContent>
        <w:p w14:paraId="66ED8FF1" w14:textId="3E7E51E7" w:rsidR="00512EEF" w:rsidRPr="009E01A9" w:rsidRDefault="009E01A9" w:rsidP="00FF487A">
          <w:pPr>
            <w:pStyle w:val="TOCHeading"/>
            <w:jc w:val="both"/>
            <w:rPr>
              <w:rFonts w:asciiTheme="minorHAnsi" w:eastAsia="Century Gothic" w:hAnsiTheme="minorHAnsi" w:cstheme="minorHAnsi"/>
              <w:b/>
              <w:bCs/>
              <w:noProof/>
              <w:color w:val="34246B" w:themeColor="accent2"/>
            </w:rPr>
          </w:pPr>
          <w:r>
            <w:rPr>
              <w:rFonts w:asciiTheme="minorHAnsi" w:eastAsia="Century Gothic" w:hAnsiTheme="minorHAnsi" w:cstheme="minorHAnsi"/>
              <w:b/>
              <w:bCs/>
              <w:noProof/>
              <w:color w:val="34246B" w:themeColor="accent2"/>
            </w:rPr>
            <w:t>CONTENTS</w:t>
          </w:r>
        </w:p>
        <w:p w14:paraId="53C5BF21" w14:textId="18CAC96E" w:rsidR="000020C6" w:rsidRDefault="00512EEF">
          <w:pPr>
            <w:pStyle w:val="TOC1"/>
            <w:rPr>
              <w:rFonts w:eastAsiaTheme="minorEastAsia" w:cstheme="minorBidi"/>
              <w:b w:val="0"/>
              <w:bCs w:val="0"/>
              <w:caps w:val="0"/>
              <w:noProof/>
              <w:color w:val="auto"/>
              <w:kern w:val="2"/>
              <w:sz w:val="24"/>
              <w:szCs w:val="24"/>
              <w14:ligatures w14:val="standardContextual"/>
            </w:rPr>
          </w:pPr>
          <w:r>
            <w:fldChar w:fldCharType="begin"/>
          </w:r>
          <w:r>
            <w:instrText xml:space="preserve"> TOC \o "1-3" \h \z \u </w:instrText>
          </w:r>
          <w:r>
            <w:fldChar w:fldCharType="separate"/>
          </w:r>
          <w:hyperlink w:anchor="_Toc221016937" w:history="1">
            <w:r w:rsidR="000020C6" w:rsidRPr="007117A0">
              <w:rPr>
                <w:rStyle w:val="Hyperlink"/>
                <w:rFonts w:ascii="Aptos" w:hAnsi="Aptos"/>
                <w:noProof/>
              </w:rPr>
              <w:t>UPDATE SCHEDULE AND VERSIONS</w:t>
            </w:r>
            <w:r w:rsidR="000020C6">
              <w:rPr>
                <w:noProof/>
                <w:webHidden/>
              </w:rPr>
              <w:tab/>
            </w:r>
            <w:r w:rsidR="000020C6">
              <w:rPr>
                <w:noProof/>
                <w:webHidden/>
              </w:rPr>
              <w:fldChar w:fldCharType="begin"/>
            </w:r>
            <w:r w:rsidR="000020C6">
              <w:rPr>
                <w:noProof/>
                <w:webHidden/>
              </w:rPr>
              <w:instrText xml:space="preserve"> PAGEREF _Toc221016937 \h </w:instrText>
            </w:r>
            <w:r w:rsidR="000020C6">
              <w:rPr>
                <w:noProof/>
                <w:webHidden/>
              </w:rPr>
            </w:r>
            <w:r w:rsidR="000020C6">
              <w:rPr>
                <w:noProof/>
                <w:webHidden/>
              </w:rPr>
              <w:fldChar w:fldCharType="separate"/>
            </w:r>
            <w:r w:rsidR="000020C6">
              <w:rPr>
                <w:noProof/>
                <w:webHidden/>
              </w:rPr>
              <w:t>4</w:t>
            </w:r>
            <w:r w:rsidR="000020C6">
              <w:rPr>
                <w:noProof/>
                <w:webHidden/>
              </w:rPr>
              <w:fldChar w:fldCharType="end"/>
            </w:r>
          </w:hyperlink>
        </w:p>
        <w:p w14:paraId="6442253C" w14:textId="6F17B54E" w:rsidR="000020C6" w:rsidRDefault="000020C6">
          <w:pPr>
            <w:pStyle w:val="TOC2"/>
            <w:rPr>
              <w:rFonts w:eastAsiaTheme="minorEastAsia" w:cstheme="minorBidi"/>
              <w:smallCaps w:val="0"/>
              <w:noProof/>
              <w:color w:val="auto"/>
              <w:kern w:val="2"/>
              <w:sz w:val="24"/>
              <w:szCs w:val="24"/>
              <w14:ligatures w14:val="standardContextual"/>
            </w:rPr>
          </w:pPr>
          <w:hyperlink w:anchor="_Toc221016938" w:history="1">
            <w:r w:rsidRPr="007117A0">
              <w:rPr>
                <w:rStyle w:val="Hyperlink"/>
                <w:rFonts w:ascii="Aptos" w:eastAsia="Aptos" w:hAnsi="Aptos" w:cs="Times New Roman"/>
                <w:b/>
                <w:bCs/>
                <w:noProof/>
              </w:rPr>
              <w:t>GOVERN / Establishing Key Policies &amp; Processes / Legal and Regulatory Compliance</w:t>
            </w:r>
            <w:r>
              <w:rPr>
                <w:noProof/>
                <w:webHidden/>
              </w:rPr>
              <w:tab/>
            </w:r>
            <w:r>
              <w:rPr>
                <w:noProof/>
                <w:webHidden/>
              </w:rPr>
              <w:fldChar w:fldCharType="begin"/>
            </w:r>
            <w:r>
              <w:rPr>
                <w:noProof/>
                <w:webHidden/>
              </w:rPr>
              <w:instrText xml:space="preserve"> PAGEREF _Toc221016938 \h </w:instrText>
            </w:r>
            <w:r>
              <w:rPr>
                <w:noProof/>
                <w:webHidden/>
              </w:rPr>
            </w:r>
            <w:r>
              <w:rPr>
                <w:noProof/>
                <w:webHidden/>
              </w:rPr>
              <w:fldChar w:fldCharType="separate"/>
            </w:r>
            <w:r>
              <w:rPr>
                <w:noProof/>
                <w:webHidden/>
              </w:rPr>
              <w:t>5</w:t>
            </w:r>
            <w:r>
              <w:rPr>
                <w:noProof/>
                <w:webHidden/>
              </w:rPr>
              <w:fldChar w:fldCharType="end"/>
            </w:r>
          </w:hyperlink>
        </w:p>
        <w:p w14:paraId="589B5D3D" w14:textId="5F69B00E" w:rsidR="000020C6" w:rsidRDefault="000020C6">
          <w:pPr>
            <w:pStyle w:val="TOC2"/>
            <w:rPr>
              <w:rFonts w:eastAsiaTheme="minorEastAsia" w:cstheme="minorBidi"/>
              <w:smallCaps w:val="0"/>
              <w:noProof/>
              <w:color w:val="auto"/>
              <w:kern w:val="2"/>
              <w:sz w:val="24"/>
              <w:szCs w:val="24"/>
              <w14:ligatures w14:val="standardContextual"/>
            </w:rPr>
          </w:pPr>
          <w:hyperlink w:anchor="_Toc221016939" w:history="1">
            <w:r w:rsidRPr="007117A0">
              <w:rPr>
                <w:rStyle w:val="Hyperlink"/>
                <w:rFonts w:ascii="Aptos" w:eastAsia="Aptos" w:hAnsi="Aptos" w:cs="Times New Roman"/>
                <w:b/>
                <w:bCs/>
                <w:noProof/>
              </w:rPr>
              <w:t>GOVERN / Establishing Key Policies &amp; Processes / Defining Trustworthy AI Policies</w:t>
            </w:r>
            <w:r>
              <w:rPr>
                <w:noProof/>
                <w:webHidden/>
              </w:rPr>
              <w:tab/>
            </w:r>
            <w:r>
              <w:rPr>
                <w:noProof/>
                <w:webHidden/>
              </w:rPr>
              <w:fldChar w:fldCharType="begin"/>
            </w:r>
            <w:r>
              <w:rPr>
                <w:noProof/>
                <w:webHidden/>
              </w:rPr>
              <w:instrText xml:space="preserve"> PAGEREF _Toc221016939 \h </w:instrText>
            </w:r>
            <w:r>
              <w:rPr>
                <w:noProof/>
                <w:webHidden/>
              </w:rPr>
            </w:r>
            <w:r>
              <w:rPr>
                <w:noProof/>
                <w:webHidden/>
              </w:rPr>
              <w:fldChar w:fldCharType="separate"/>
            </w:r>
            <w:r>
              <w:rPr>
                <w:noProof/>
                <w:webHidden/>
              </w:rPr>
              <w:t>11</w:t>
            </w:r>
            <w:r>
              <w:rPr>
                <w:noProof/>
                <w:webHidden/>
              </w:rPr>
              <w:fldChar w:fldCharType="end"/>
            </w:r>
          </w:hyperlink>
        </w:p>
        <w:p w14:paraId="5B54E352" w14:textId="6AB455E7" w:rsidR="000020C6" w:rsidRDefault="000020C6">
          <w:pPr>
            <w:pStyle w:val="TOC2"/>
            <w:rPr>
              <w:rFonts w:eastAsiaTheme="minorEastAsia" w:cstheme="minorBidi"/>
              <w:smallCaps w:val="0"/>
              <w:noProof/>
              <w:color w:val="auto"/>
              <w:kern w:val="2"/>
              <w:sz w:val="24"/>
              <w:szCs w:val="24"/>
              <w14:ligatures w14:val="standardContextual"/>
            </w:rPr>
          </w:pPr>
          <w:hyperlink w:anchor="_Toc221016940" w:history="1">
            <w:r w:rsidRPr="007117A0">
              <w:rPr>
                <w:rStyle w:val="Hyperlink"/>
                <w:rFonts w:ascii="Aptos" w:eastAsia="Aptos" w:hAnsi="Aptos" w:cs="Times New Roman"/>
                <w:b/>
                <w:bCs/>
                <w:noProof/>
              </w:rPr>
              <w:t>GOVERN / Establishing Third-Party Risk Management for the AI System / Establishing Third-Party Risk Management Processes</w:t>
            </w:r>
            <w:r>
              <w:rPr>
                <w:noProof/>
                <w:webHidden/>
              </w:rPr>
              <w:tab/>
            </w:r>
            <w:r>
              <w:rPr>
                <w:noProof/>
                <w:webHidden/>
              </w:rPr>
              <w:fldChar w:fldCharType="begin"/>
            </w:r>
            <w:r>
              <w:rPr>
                <w:noProof/>
                <w:webHidden/>
              </w:rPr>
              <w:instrText xml:space="preserve"> PAGEREF _Toc221016940 \h </w:instrText>
            </w:r>
            <w:r>
              <w:rPr>
                <w:noProof/>
                <w:webHidden/>
              </w:rPr>
            </w:r>
            <w:r>
              <w:rPr>
                <w:noProof/>
                <w:webHidden/>
              </w:rPr>
              <w:fldChar w:fldCharType="separate"/>
            </w:r>
            <w:r>
              <w:rPr>
                <w:noProof/>
                <w:webHidden/>
              </w:rPr>
              <w:t>16</w:t>
            </w:r>
            <w:r>
              <w:rPr>
                <w:noProof/>
                <w:webHidden/>
              </w:rPr>
              <w:fldChar w:fldCharType="end"/>
            </w:r>
          </w:hyperlink>
        </w:p>
        <w:p w14:paraId="62A1ABC9" w14:textId="5F553A86" w:rsidR="000020C6" w:rsidRDefault="000020C6">
          <w:pPr>
            <w:pStyle w:val="TOC2"/>
            <w:rPr>
              <w:rFonts w:eastAsiaTheme="minorEastAsia" w:cstheme="minorBidi"/>
              <w:smallCaps w:val="0"/>
              <w:noProof/>
              <w:color w:val="auto"/>
              <w:kern w:val="2"/>
              <w:sz w:val="24"/>
              <w:szCs w:val="24"/>
              <w14:ligatures w14:val="standardContextual"/>
            </w:rPr>
          </w:pPr>
          <w:hyperlink w:anchor="_Toc221016941" w:history="1">
            <w:r w:rsidRPr="007117A0">
              <w:rPr>
                <w:rStyle w:val="Hyperlink"/>
                <w:rFonts w:ascii="Aptos" w:eastAsia="Aptos" w:hAnsi="Aptos" w:cs="Times New Roman"/>
                <w:b/>
                <w:bCs/>
                <w:noProof/>
              </w:rPr>
              <w:t>MAP / Understanding the Operating Context / Defining the Operating Context</w:t>
            </w:r>
            <w:r>
              <w:rPr>
                <w:noProof/>
                <w:webHidden/>
              </w:rPr>
              <w:tab/>
            </w:r>
            <w:r>
              <w:rPr>
                <w:noProof/>
                <w:webHidden/>
              </w:rPr>
              <w:fldChar w:fldCharType="begin"/>
            </w:r>
            <w:r>
              <w:rPr>
                <w:noProof/>
                <w:webHidden/>
              </w:rPr>
              <w:instrText xml:space="preserve"> PAGEREF _Toc221016941 \h </w:instrText>
            </w:r>
            <w:r>
              <w:rPr>
                <w:noProof/>
                <w:webHidden/>
              </w:rPr>
            </w:r>
            <w:r>
              <w:rPr>
                <w:noProof/>
                <w:webHidden/>
              </w:rPr>
              <w:fldChar w:fldCharType="separate"/>
            </w:r>
            <w:r>
              <w:rPr>
                <w:noProof/>
                <w:webHidden/>
              </w:rPr>
              <w:t>18</w:t>
            </w:r>
            <w:r>
              <w:rPr>
                <w:noProof/>
                <w:webHidden/>
              </w:rPr>
              <w:fldChar w:fldCharType="end"/>
            </w:r>
          </w:hyperlink>
        </w:p>
        <w:p w14:paraId="6F48268B" w14:textId="657DFC1B" w:rsidR="000020C6" w:rsidRDefault="000020C6">
          <w:pPr>
            <w:pStyle w:val="TOC2"/>
            <w:rPr>
              <w:rFonts w:eastAsiaTheme="minorEastAsia" w:cstheme="minorBidi"/>
              <w:smallCaps w:val="0"/>
              <w:noProof/>
              <w:color w:val="auto"/>
              <w:kern w:val="2"/>
              <w:sz w:val="24"/>
              <w:szCs w:val="24"/>
              <w14:ligatures w14:val="standardContextual"/>
            </w:rPr>
          </w:pPr>
          <w:hyperlink w:anchor="_Toc221016942" w:history="1">
            <w:r w:rsidRPr="007117A0">
              <w:rPr>
                <w:rStyle w:val="Hyperlink"/>
                <w:rFonts w:ascii="Aptos" w:eastAsia="Aptos" w:hAnsi="Aptos" w:cs="Times New Roman"/>
                <w:b/>
                <w:bCs/>
                <w:noProof/>
              </w:rPr>
              <w:t>MAP / Understanding the Operating Context / Bolstering Cross-Functional Perspectives on the Operating Context</w:t>
            </w:r>
            <w:r>
              <w:rPr>
                <w:noProof/>
                <w:webHidden/>
              </w:rPr>
              <w:tab/>
            </w:r>
            <w:r>
              <w:rPr>
                <w:noProof/>
                <w:webHidden/>
              </w:rPr>
              <w:fldChar w:fldCharType="begin"/>
            </w:r>
            <w:r>
              <w:rPr>
                <w:noProof/>
                <w:webHidden/>
              </w:rPr>
              <w:instrText xml:space="preserve"> PAGEREF _Toc221016942 \h </w:instrText>
            </w:r>
            <w:r>
              <w:rPr>
                <w:noProof/>
                <w:webHidden/>
              </w:rPr>
            </w:r>
            <w:r>
              <w:rPr>
                <w:noProof/>
                <w:webHidden/>
              </w:rPr>
              <w:fldChar w:fldCharType="separate"/>
            </w:r>
            <w:r>
              <w:rPr>
                <w:noProof/>
                <w:webHidden/>
              </w:rPr>
              <w:t>26</w:t>
            </w:r>
            <w:r>
              <w:rPr>
                <w:noProof/>
                <w:webHidden/>
              </w:rPr>
              <w:fldChar w:fldCharType="end"/>
            </w:r>
          </w:hyperlink>
        </w:p>
        <w:p w14:paraId="3DFB8B3F" w14:textId="2DA48C48" w:rsidR="000020C6" w:rsidRDefault="000020C6">
          <w:pPr>
            <w:pStyle w:val="TOC2"/>
            <w:rPr>
              <w:rFonts w:eastAsiaTheme="minorEastAsia" w:cstheme="minorBidi"/>
              <w:smallCaps w:val="0"/>
              <w:noProof/>
              <w:color w:val="auto"/>
              <w:kern w:val="2"/>
              <w:sz w:val="24"/>
              <w:szCs w:val="24"/>
              <w14:ligatures w14:val="standardContextual"/>
            </w:rPr>
          </w:pPr>
          <w:hyperlink w:anchor="_Toc221016943" w:history="1">
            <w:r w:rsidRPr="007117A0">
              <w:rPr>
                <w:rStyle w:val="Hyperlink"/>
                <w:rFonts w:ascii="Aptos" w:eastAsia="Aptos" w:hAnsi="Aptos" w:cs="Times New Roman"/>
                <w:b/>
                <w:bCs/>
                <w:noProof/>
              </w:rPr>
              <w:t>MAP / Understanding the Operating Context / Defining the Mission and Goals</w:t>
            </w:r>
            <w:r>
              <w:rPr>
                <w:noProof/>
                <w:webHidden/>
              </w:rPr>
              <w:tab/>
            </w:r>
            <w:r>
              <w:rPr>
                <w:noProof/>
                <w:webHidden/>
              </w:rPr>
              <w:fldChar w:fldCharType="begin"/>
            </w:r>
            <w:r>
              <w:rPr>
                <w:noProof/>
                <w:webHidden/>
              </w:rPr>
              <w:instrText xml:space="preserve"> PAGEREF _Toc221016943 \h </w:instrText>
            </w:r>
            <w:r>
              <w:rPr>
                <w:noProof/>
                <w:webHidden/>
              </w:rPr>
            </w:r>
            <w:r>
              <w:rPr>
                <w:noProof/>
                <w:webHidden/>
              </w:rPr>
              <w:fldChar w:fldCharType="separate"/>
            </w:r>
            <w:r>
              <w:rPr>
                <w:noProof/>
                <w:webHidden/>
              </w:rPr>
              <w:t>28</w:t>
            </w:r>
            <w:r>
              <w:rPr>
                <w:noProof/>
                <w:webHidden/>
              </w:rPr>
              <w:fldChar w:fldCharType="end"/>
            </w:r>
          </w:hyperlink>
        </w:p>
        <w:p w14:paraId="7619C753" w14:textId="39D6F354" w:rsidR="000020C6" w:rsidRDefault="000020C6">
          <w:pPr>
            <w:pStyle w:val="TOC2"/>
            <w:rPr>
              <w:rFonts w:eastAsiaTheme="minorEastAsia" w:cstheme="minorBidi"/>
              <w:smallCaps w:val="0"/>
              <w:noProof/>
              <w:color w:val="auto"/>
              <w:kern w:val="2"/>
              <w:sz w:val="24"/>
              <w:szCs w:val="24"/>
              <w14:ligatures w14:val="standardContextual"/>
            </w:rPr>
          </w:pPr>
          <w:hyperlink w:anchor="_Toc221016944" w:history="1">
            <w:r w:rsidRPr="007117A0">
              <w:rPr>
                <w:rStyle w:val="Hyperlink"/>
                <w:rFonts w:ascii="Aptos" w:eastAsia="Aptos" w:hAnsi="Aptos" w:cs="Times New Roman"/>
                <w:b/>
                <w:bCs/>
                <w:noProof/>
              </w:rPr>
              <w:t>MAP / Understanding the Operating Context / Defining Real-World Business Value</w:t>
            </w:r>
            <w:r>
              <w:rPr>
                <w:noProof/>
                <w:webHidden/>
              </w:rPr>
              <w:tab/>
            </w:r>
            <w:r>
              <w:rPr>
                <w:noProof/>
                <w:webHidden/>
              </w:rPr>
              <w:fldChar w:fldCharType="begin"/>
            </w:r>
            <w:r>
              <w:rPr>
                <w:noProof/>
                <w:webHidden/>
              </w:rPr>
              <w:instrText xml:space="preserve"> PAGEREF _Toc221016944 \h </w:instrText>
            </w:r>
            <w:r>
              <w:rPr>
                <w:noProof/>
                <w:webHidden/>
              </w:rPr>
            </w:r>
            <w:r>
              <w:rPr>
                <w:noProof/>
                <w:webHidden/>
              </w:rPr>
              <w:fldChar w:fldCharType="separate"/>
            </w:r>
            <w:r>
              <w:rPr>
                <w:noProof/>
                <w:webHidden/>
              </w:rPr>
              <w:t>30</w:t>
            </w:r>
            <w:r>
              <w:rPr>
                <w:noProof/>
                <w:webHidden/>
              </w:rPr>
              <w:fldChar w:fldCharType="end"/>
            </w:r>
          </w:hyperlink>
        </w:p>
        <w:p w14:paraId="5600BA61" w14:textId="201E8703" w:rsidR="000020C6" w:rsidRDefault="000020C6">
          <w:pPr>
            <w:pStyle w:val="TOC2"/>
            <w:rPr>
              <w:rFonts w:eastAsiaTheme="minorEastAsia" w:cstheme="minorBidi"/>
              <w:smallCaps w:val="0"/>
              <w:noProof/>
              <w:color w:val="auto"/>
              <w:kern w:val="2"/>
              <w:sz w:val="24"/>
              <w:szCs w:val="24"/>
              <w14:ligatures w14:val="standardContextual"/>
            </w:rPr>
          </w:pPr>
          <w:hyperlink w:anchor="_Toc221016945" w:history="1">
            <w:r w:rsidRPr="007117A0">
              <w:rPr>
                <w:rStyle w:val="Hyperlink"/>
                <w:rFonts w:ascii="Aptos" w:eastAsia="Aptos" w:hAnsi="Aptos" w:cs="Times New Roman"/>
                <w:b/>
                <w:bCs/>
                <w:noProof/>
              </w:rPr>
              <w:t>MAP / Understanding the Operating Context / Defining and Communicating User Requirements</w:t>
            </w:r>
            <w:r>
              <w:rPr>
                <w:noProof/>
                <w:webHidden/>
              </w:rPr>
              <w:tab/>
            </w:r>
            <w:r>
              <w:rPr>
                <w:noProof/>
                <w:webHidden/>
              </w:rPr>
              <w:fldChar w:fldCharType="begin"/>
            </w:r>
            <w:r>
              <w:rPr>
                <w:noProof/>
                <w:webHidden/>
              </w:rPr>
              <w:instrText xml:space="preserve"> PAGEREF _Toc221016945 \h </w:instrText>
            </w:r>
            <w:r>
              <w:rPr>
                <w:noProof/>
                <w:webHidden/>
              </w:rPr>
            </w:r>
            <w:r>
              <w:rPr>
                <w:noProof/>
                <w:webHidden/>
              </w:rPr>
              <w:fldChar w:fldCharType="separate"/>
            </w:r>
            <w:r>
              <w:rPr>
                <w:noProof/>
                <w:webHidden/>
              </w:rPr>
              <w:t>32</w:t>
            </w:r>
            <w:r>
              <w:rPr>
                <w:noProof/>
                <w:webHidden/>
              </w:rPr>
              <w:fldChar w:fldCharType="end"/>
            </w:r>
          </w:hyperlink>
        </w:p>
        <w:p w14:paraId="74FB058F" w14:textId="5F0D83E1" w:rsidR="000020C6" w:rsidRDefault="000020C6">
          <w:pPr>
            <w:pStyle w:val="TOC2"/>
            <w:rPr>
              <w:rFonts w:eastAsiaTheme="minorEastAsia" w:cstheme="minorBidi"/>
              <w:smallCaps w:val="0"/>
              <w:noProof/>
              <w:color w:val="auto"/>
              <w:kern w:val="2"/>
              <w:sz w:val="24"/>
              <w:szCs w:val="24"/>
              <w14:ligatures w14:val="standardContextual"/>
            </w:rPr>
          </w:pPr>
          <w:hyperlink w:anchor="_Toc221016946" w:history="1">
            <w:r w:rsidRPr="007117A0">
              <w:rPr>
                <w:rStyle w:val="Hyperlink"/>
                <w:rFonts w:ascii="Aptos" w:eastAsia="Aptos" w:hAnsi="Aptos" w:cs="Times New Roman"/>
                <w:b/>
                <w:bCs/>
                <w:noProof/>
              </w:rPr>
              <w:t>MAP / Understanding the AI System / Defining AI System Task and Methodology</w:t>
            </w:r>
            <w:r>
              <w:rPr>
                <w:noProof/>
                <w:webHidden/>
              </w:rPr>
              <w:tab/>
            </w:r>
            <w:r>
              <w:rPr>
                <w:noProof/>
                <w:webHidden/>
              </w:rPr>
              <w:fldChar w:fldCharType="begin"/>
            </w:r>
            <w:r>
              <w:rPr>
                <w:noProof/>
                <w:webHidden/>
              </w:rPr>
              <w:instrText xml:space="preserve"> PAGEREF _Toc221016946 \h </w:instrText>
            </w:r>
            <w:r>
              <w:rPr>
                <w:noProof/>
                <w:webHidden/>
              </w:rPr>
            </w:r>
            <w:r>
              <w:rPr>
                <w:noProof/>
                <w:webHidden/>
              </w:rPr>
              <w:fldChar w:fldCharType="separate"/>
            </w:r>
            <w:r>
              <w:rPr>
                <w:noProof/>
                <w:webHidden/>
              </w:rPr>
              <w:t>34</w:t>
            </w:r>
            <w:r>
              <w:rPr>
                <w:noProof/>
                <w:webHidden/>
              </w:rPr>
              <w:fldChar w:fldCharType="end"/>
            </w:r>
          </w:hyperlink>
        </w:p>
        <w:p w14:paraId="5D11357C" w14:textId="3DCC7D18" w:rsidR="000020C6" w:rsidRDefault="000020C6">
          <w:pPr>
            <w:pStyle w:val="TOC2"/>
            <w:rPr>
              <w:rFonts w:eastAsiaTheme="minorEastAsia" w:cstheme="minorBidi"/>
              <w:smallCaps w:val="0"/>
              <w:noProof/>
              <w:color w:val="auto"/>
              <w:kern w:val="2"/>
              <w:sz w:val="24"/>
              <w:szCs w:val="24"/>
              <w14:ligatures w14:val="standardContextual"/>
            </w:rPr>
          </w:pPr>
          <w:hyperlink w:anchor="_Toc221016947" w:history="1">
            <w:r w:rsidRPr="007117A0">
              <w:rPr>
                <w:rStyle w:val="Hyperlink"/>
                <w:rFonts w:ascii="Aptos" w:eastAsia="Aptos" w:hAnsi="Aptos" w:cs="Times New Roman"/>
                <w:b/>
                <w:bCs/>
                <w:noProof/>
              </w:rPr>
              <w:t>MAP / Understanding the AI System / Defining AI System Utility and Oversight Needs</w:t>
            </w:r>
            <w:r>
              <w:rPr>
                <w:noProof/>
                <w:webHidden/>
              </w:rPr>
              <w:tab/>
            </w:r>
            <w:r>
              <w:rPr>
                <w:noProof/>
                <w:webHidden/>
              </w:rPr>
              <w:fldChar w:fldCharType="begin"/>
            </w:r>
            <w:r>
              <w:rPr>
                <w:noProof/>
                <w:webHidden/>
              </w:rPr>
              <w:instrText xml:space="preserve"> PAGEREF _Toc221016947 \h </w:instrText>
            </w:r>
            <w:r>
              <w:rPr>
                <w:noProof/>
                <w:webHidden/>
              </w:rPr>
            </w:r>
            <w:r>
              <w:rPr>
                <w:noProof/>
                <w:webHidden/>
              </w:rPr>
              <w:fldChar w:fldCharType="separate"/>
            </w:r>
            <w:r>
              <w:rPr>
                <w:noProof/>
                <w:webHidden/>
              </w:rPr>
              <w:t>36</w:t>
            </w:r>
            <w:r>
              <w:rPr>
                <w:noProof/>
                <w:webHidden/>
              </w:rPr>
              <w:fldChar w:fldCharType="end"/>
            </w:r>
          </w:hyperlink>
        </w:p>
        <w:p w14:paraId="783DBDAB" w14:textId="1E63B6B7" w:rsidR="000020C6" w:rsidRDefault="000020C6">
          <w:pPr>
            <w:pStyle w:val="TOC2"/>
            <w:rPr>
              <w:rFonts w:eastAsiaTheme="minorEastAsia" w:cstheme="minorBidi"/>
              <w:smallCaps w:val="0"/>
              <w:noProof/>
              <w:color w:val="auto"/>
              <w:kern w:val="2"/>
              <w:sz w:val="24"/>
              <w:szCs w:val="24"/>
              <w14:ligatures w14:val="standardContextual"/>
            </w:rPr>
          </w:pPr>
          <w:hyperlink w:anchor="_Toc221016948" w:history="1">
            <w:r w:rsidRPr="007117A0">
              <w:rPr>
                <w:rStyle w:val="Hyperlink"/>
                <w:rFonts w:ascii="Aptos" w:eastAsia="Aptos" w:hAnsi="Aptos" w:cs="Times New Roman"/>
                <w:b/>
                <w:bCs/>
                <w:noProof/>
              </w:rPr>
              <w:t>MAP / Understanding the AI System / Applying Scientific Methodologies</w:t>
            </w:r>
            <w:r>
              <w:rPr>
                <w:noProof/>
                <w:webHidden/>
              </w:rPr>
              <w:tab/>
            </w:r>
            <w:r>
              <w:rPr>
                <w:noProof/>
                <w:webHidden/>
              </w:rPr>
              <w:fldChar w:fldCharType="begin"/>
            </w:r>
            <w:r>
              <w:rPr>
                <w:noProof/>
                <w:webHidden/>
              </w:rPr>
              <w:instrText xml:space="preserve"> PAGEREF _Toc221016948 \h </w:instrText>
            </w:r>
            <w:r>
              <w:rPr>
                <w:noProof/>
                <w:webHidden/>
              </w:rPr>
            </w:r>
            <w:r>
              <w:rPr>
                <w:noProof/>
                <w:webHidden/>
              </w:rPr>
              <w:fldChar w:fldCharType="separate"/>
            </w:r>
            <w:r>
              <w:rPr>
                <w:noProof/>
                <w:webHidden/>
              </w:rPr>
              <w:t>38</w:t>
            </w:r>
            <w:r>
              <w:rPr>
                <w:noProof/>
                <w:webHidden/>
              </w:rPr>
              <w:fldChar w:fldCharType="end"/>
            </w:r>
          </w:hyperlink>
        </w:p>
        <w:p w14:paraId="73A25157" w14:textId="32B01E89" w:rsidR="000020C6" w:rsidRDefault="000020C6">
          <w:pPr>
            <w:pStyle w:val="TOC2"/>
            <w:rPr>
              <w:rFonts w:eastAsiaTheme="minorEastAsia" w:cstheme="minorBidi"/>
              <w:smallCaps w:val="0"/>
              <w:noProof/>
              <w:color w:val="auto"/>
              <w:kern w:val="2"/>
              <w:sz w:val="24"/>
              <w:szCs w:val="24"/>
              <w14:ligatures w14:val="standardContextual"/>
            </w:rPr>
          </w:pPr>
          <w:hyperlink w:anchor="_Toc221016949" w:history="1">
            <w:r w:rsidRPr="007117A0">
              <w:rPr>
                <w:rStyle w:val="Hyperlink"/>
                <w:rFonts w:ascii="Aptos" w:eastAsia="Aptos" w:hAnsi="Aptos" w:cs="Times New Roman"/>
                <w:b/>
                <w:bCs/>
                <w:noProof/>
              </w:rPr>
              <w:t>MEASURE / Methods and Metrics / External Assessment of Measurement Approaches</w:t>
            </w:r>
            <w:r>
              <w:rPr>
                <w:noProof/>
                <w:webHidden/>
              </w:rPr>
              <w:tab/>
            </w:r>
            <w:r>
              <w:rPr>
                <w:noProof/>
                <w:webHidden/>
              </w:rPr>
              <w:fldChar w:fldCharType="begin"/>
            </w:r>
            <w:r>
              <w:rPr>
                <w:noProof/>
                <w:webHidden/>
              </w:rPr>
              <w:instrText xml:space="preserve"> PAGEREF _Toc221016949 \h </w:instrText>
            </w:r>
            <w:r>
              <w:rPr>
                <w:noProof/>
                <w:webHidden/>
              </w:rPr>
            </w:r>
            <w:r>
              <w:rPr>
                <w:noProof/>
                <w:webHidden/>
              </w:rPr>
              <w:fldChar w:fldCharType="separate"/>
            </w:r>
            <w:r>
              <w:rPr>
                <w:noProof/>
                <w:webHidden/>
              </w:rPr>
              <w:t>40</w:t>
            </w:r>
            <w:r>
              <w:rPr>
                <w:noProof/>
                <w:webHidden/>
              </w:rPr>
              <w:fldChar w:fldCharType="end"/>
            </w:r>
          </w:hyperlink>
        </w:p>
        <w:p w14:paraId="35175923" w14:textId="1FA1F723" w:rsidR="000020C6" w:rsidRDefault="000020C6">
          <w:pPr>
            <w:pStyle w:val="TOC2"/>
            <w:rPr>
              <w:rFonts w:eastAsiaTheme="minorEastAsia" w:cstheme="minorBidi"/>
              <w:smallCaps w:val="0"/>
              <w:noProof/>
              <w:color w:val="auto"/>
              <w:kern w:val="2"/>
              <w:sz w:val="24"/>
              <w:szCs w:val="24"/>
              <w14:ligatures w14:val="standardContextual"/>
            </w:rPr>
          </w:pPr>
          <w:hyperlink w:anchor="_Toc221016950" w:history="1">
            <w:r w:rsidRPr="007117A0">
              <w:rPr>
                <w:rStyle w:val="Hyperlink"/>
                <w:rFonts w:ascii="Aptos" w:eastAsia="Aptos" w:hAnsi="Aptos" w:cs="Times New Roman"/>
                <w:b/>
                <w:bCs/>
                <w:noProof/>
              </w:rPr>
              <w:t>MEASURE / Evaluating AI Systems / Measuring Privacy</w:t>
            </w:r>
            <w:r>
              <w:rPr>
                <w:noProof/>
                <w:webHidden/>
              </w:rPr>
              <w:tab/>
            </w:r>
            <w:r>
              <w:rPr>
                <w:noProof/>
                <w:webHidden/>
              </w:rPr>
              <w:fldChar w:fldCharType="begin"/>
            </w:r>
            <w:r>
              <w:rPr>
                <w:noProof/>
                <w:webHidden/>
              </w:rPr>
              <w:instrText xml:space="preserve"> PAGEREF _Toc221016950 \h </w:instrText>
            </w:r>
            <w:r>
              <w:rPr>
                <w:noProof/>
                <w:webHidden/>
              </w:rPr>
            </w:r>
            <w:r>
              <w:rPr>
                <w:noProof/>
                <w:webHidden/>
              </w:rPr>
              <w:fldChar w:fldCharType="separate"/>
            </w:r>
            <w:r>
              <w:rPr>
                <w:noProof/>
                <w:webHidden/>
              </w:rPr>
              <w:t>43</w:t>
            </w:r>
            <w:r>
              <w:rPr>
                <w:noProof/>
                <w:webHidden/>
              </w:rPr>
              <w:fldChar w:fldCharType="end"/>
            </w:r>
          </w:hyperlink>
        </w:p>
        <w:p w14:paraId="5BC36828" w14:textId="51D38B61" w:rsidR="000020C6" w:rsidRDefault="000020C6">
          <w:pPr>
            <w:pStyle w:val="TOC2"/>
            <w:rPr>
              <w:rFonts w:eastAsiaTheme="minorEastAsia" w:cstheme="minorBidi"/>
              <w:smallCaps w:val="0"/>
              <w:noProof/>
              <w:color w:val="auto"/>
              <w:kern w:val="2"/>
              <w:sz w:val="24"/>
              <w:szCs w:val="24"/>
              <w14:ligatures w14:val="standardContextual"/>
            </w:rPr>
          </w:pPr>
          <w:hyperlink w:anchor="_Toc221016951" w:history="1">
            <w:r w:rsidRPr="007117A0">
              <w:rPr>
                <w:rStyle w:val="Hyperlink"/>
                <w:rFonts w:ascii="Aptos" w:eastAsia="Aptos" w:hAnsi="Aptos" w:cs="Times New Roman"/>
                <w:b/>
                <w:bCs/>
                <w:noProof/>
              </w:rPr>
              <w:t>MEASURE / Evaluating AI Systems / Measuring Nondiscrimination</w:t>
            </w:r>
            <w:r>
              <w:rPr>
                <w:noProof/>
                <w:webHidden/>
              </w:rPr>
              <w:tab/>
            </w:r>
            <w:r>
              <w:rPr>
                <w:noProof/>
                <w:webHidden/>
              </w:rPr>
              <w:fldChar w:fldCharType="begin"/>
            </w:r>
            <w:r>
              <w:rPr>
                <w:noProof/>
                <w:webHidden/>
              </w:rPr>
              <w:instrText xml:space="preserve"> PAGEREF _Toc221016951 \h </w:instrText>
            </w:r>
            <w:r>
              <w:rPr>
                <w:noProof/>
                <w:webHidden/>
              </w:rPr>
            </w:r>
            <w:r>
              <w:rPr>
                <w:noProof/>
                <w:webHidden/>
              </w:rPr>
              <w:fldChar w:fldCharType="separate"/>
            </w:r>
            <w:r>
              <w:rPr>
                <w:noProof/>
                <w:webHidden/>
              </w:rPr>
              <w:t>45</w:t>
            </w:r>
            <w:r>
              <w:rPr>
                <w:noProof/>
                <w:webHidden/>
              </w:rPr>
              <w:fldChar w:fldCharType="end"/>
            </w:r>
          </w:hyperlink>
        </w:p>
        <w:p w14:paraId="727FBB91" w14:textId="27B95BF0" w:rsidR="000020C6" w:rsidRDefault="000020C6">
          <w:pPr>
            <w:pStyle w:val="TOC2"/>
            <w:rPr>
              <w:rFonts w:eastAsiaTheme="minorEastAsia" w:cstheme="minorBidi"/>
              <w:smallCaps w:val="0"/>
              <w:noProof/>
              <w:color w:val="auto"/>
              <w:kern w:val="2"/>
              <w:sz w:val="24"/>
              <w:szCs w:val="24"/>
              <w14:ligatures w14:val="standardContextual"/>
            </w:rPr>
          </w:pPr>
          <w:hyperlink w:anchor="_Toc221016952" w:history="1">
            <w:r w:rsidRPr="007117A0">
              <w:rPr>
                <w:rStyle w:val="Hyperlink"/>
                <w:rFonts w:ascii="Aptos" w:eastAsia="Aptos" w:hAnsi="Aptos" w:cs="Times New Roman"/>
                <w:b/>
                <w:bCs/>
                <w:noProof/>
              </w:rPr>
              <w:t>MEASURE / Tracking AI Risks / Enabling Feedback, Appeal, and Override</w:t>
            </w:r>
            <w:r>
              <w:rPr>
                <w:noProof/>
                <w:webHidden/>
              </w:rPr>
              <w:tab/>
            </w:r>
            <w:r>
              <w:rPr>
                <w:noProof/>
                <w:webHidden/>
              </w:rPr>
              <w:fldChar w:fldCharType="begin"/>
            </w:r>
            <w:r>
              <w:rPr>
                <w:noProof/>
                <w:webHidden/>
              </w:rPr>
              <w:instrText xml:space="preserve"> PAGEREF _Toc221016952 \h </w:instrText>
            </w:r>
            <w:r>
              <w:rPr>
                <w:noProof/>
                <w:webHidden/>
              </w:rPr>
            </w:r>
            <w:r>
              <w:rPr>
                <w:noProof/>
                <w:webHidden/>
              </w:rPr>
              <w:fldChar w:fldCharType="separate"/>
            </w:r>
            <w:r>
              <w:rPr>
                <w:noProof/>
                <w:webHidden/>
              </w:rPr>
              <w:t>48</w:t>
            </w:r>
            <w:r>
              <w:rPr>
                <w:noProof/>
                <w:webHidden/>
              </w:rPr>
              <w:fldChar w:fldCharType="end"/>
            </w:r>
          </w:hyperlink>
        </w:p>
        <w:p w14:paraId="42B7FAA6" w14:textId="294B9F3D" w:rsidR="00512EEF" w:rsidRDefault="00512EEF" w:rsidP="00FF487A">
          <w:pPr>
            <w:jc w:val="both"/>
          </w:pPr>
          <w:r>
            <w:rPr>
              <w:b/>
              <w:bCs/>
              <w:noProof/>
            </w:rPr>
            <w:fldChar w:fldCharType="end"/>
          </w:r>
        </w:p>
      </w:sdtContent>
    </w:sdt>
    <w:p w14:paraId="2849F6F5" w14:textId="77777777" w:rsidR="00322A1A" w:rsidRDefault="00322A1A">
      <w:pPr>
        <w:rPr>
          <w:rFonts w:ascii="Aptos" w:eastAsia="Times New Roman" w:hAnsi="Aptos" w:cs="Times New Roman"/>
          <w:b/>
          <w:bCs/>
          <w:color w:val="34246B" w:themeColor="accent2"/>
          <w:sz w:val="32"/>
        </w:rPr>
      </w:pPr>
      <w:r>
        <w:rPr>
          <w:rFonts w:ascii="Aptos" w:hAnsi="Aptos"/>
          <w:b/>
          <w:bCs/>
          <w:color w:val="34246B" w:themeColor="accent2"/>
        </w:rPr>
        <w:br w:type="page"/>
      </w:r>
    </w:p>
    <w:p w14:paraId="5AC1E64B" w14:textId="4C507ACE" w:rsidR="00322A1A" w:rsidRPr="004C3837" w:rsidRDefault="00424114" w:rsidP="00322A1A">
      <w:pPr>
        <w:pStyle w:val="Heading1"/>
        <w:spacing w:after="0" w:line="269" w:lineRule="auto"/>
        <w:jc w:val="both"/>
        <w:rPr>
          <w:rFonts w:ascii="Aptos" w:hAnsi="Aptos"/>
          <w:b/>
          <w:bCs/>
          <w:color w:val="34246B" w:themeColor="accent2"/>
          <w:sz w:val="28"/>
          <w:szCs w:val="22"/>
        </w:rPr>
      </w:pPr>
      <w:bookmarkStart w:id="8" w:name="_Toc221016937"/>
      <w:r w:rsidRPr="004C3837">
        <w:rPr>
          <w:rFonts w:ascii="Aptos" w:hAnsi="Aptos"/>
          <w:b/>
          <w:bCs/>
          <w:color w:val="34246B" w:themeColor="accent2"/>
          <w:sz w:val="28"/>
          <w:szCs w:val="22"/>
        </w:rPr>
        <w:lastRenderedPageBreak/>
        <w:t>UPDATE SCHEDULE AND VERSIONS</w:t>
      </w:r>
      <w:bookmarkEnd w:id="8"/>
    </w:p>
    <w:p w14:paraId="5BACC11B" w14:textId="77777777" w:rsidR="00322A1A" w:rsidRPr="004C3837" w:rsidRDefault="00322A1A" w:rsidP="004C3837">
      <w:pPr>
        <w:jc w:val="both"/>
        <w:rPr>
          <w:rFonts w:ascii="Aptos" w:hAnsi="Aptos"/>
          <w:b/>
          <w:bCs/>
          <w:color w:val="B31E3E" w:themeColor="accent1"/>
          <w:sz w:val="20"/>
          <w:szCs w:val="20"/>
        </w:rPr>
      </w:pPr>
    </w:p>
    <w:p w14:paraId="38E02279" w14:textId="0F14F1C4" w:rsidR="0027596D" w:rsidRPr="004C3837" w:rsidRDefault="0027596D" w:rsidP="004C3837">
      <w:pPr>
        <w:jc w:val="both"/>
        <w:rPr>
          <w:rFonts w:ascii="Aptos" w:hAnsi="Aptos"/>
          <w:color w:val="auto"/>
          <w:sz w:val="20"/>
          <w:szCs w:val="20"/>
        </w:rPr>
      </w:pPr>
      <w:r w:rsidRPr="004C3837">
        <w:rPr>
          <w:rFonts w:ascii="Aptos" w:hAnsi="Aptos"/>
          <w:color w:val="auto"/>
          <w:sz w:val="20"/>
          <w:szCs w:val="20"/>
        </w:rPr>
        <w:t xml:space="preserve">The FS AI RMF </w:t>
      </w:r>
      <w:r w:rsidR="00B70D88" w:rsidRPr="004C3837">
        <w:rPr>
          <w:rFonts w:ascii="Aptos" w:hAnsi="Aptos"/>
          <w:color w:val="auto"/>
          <w:sz w:val="20"/>
          <w:szCs w:val="20"/>
        </w:rPr>
        <w:t xml:space="preserve">and this Control Objective Reference </w:t>
      </w:r>
      <w:r w:rsidR="002F29C9" w:rsidRPr="004C3837">
        <w:rPr>
          <w:rFonts w:ascii="Aptos" w:hAnsi="Aptos"/>
          <w:color w:val="auto"/>
          <w:sz w:val="20"/>
          <w:szCs w:val="20"/>
        </w:rPr>
        <w:t>Guide</w:t>
      </w:r>
      <w:r w:rsidR="00B70D88" w:rsidRPr="004C3837">
        <w:rPr>
          <w:rFonts w:ascii="Aptos" w:hAnsi="Aptos"/>
          <w:color w:val="auto"/>
          <w:sz w:val="20"/>
          <w:szCs w:val="20"/>
        </w:rPr>
        <w:t xml:space="preserve"> </w:t>
      </w:r>
      <w:r w:rsidR="002F29C9" w:rsidRPr="004C3837">
        <w:rPr>
          <w:rFonts w:ascii="Aptos" w:hAnsi="Aptos"/>
          <w:color w:val="auto"/>
          <w:sz w:val="20"/>
          <w:szCs w:val="20"/>
        </w:rPr>
        <w:t>are</w:t>
      </w:r>
      <w:r w:rsidRPr="004C3837">
        <w:rPr>
          <w:rFonts w:ascii="Aptos" w:hAnsi="Aptos"/>
          <w:color w:val="auto"/>
          <w:sz w:val="20"/>
          <w:szCs w:val="20"/>
        </w:rPr>
        <w:t xml:space="preserve"> living document</w:t>
      </w:r>
      <w:r w:rsidR="002F29C9" w:rsidRPr="004C3837">
        <w:rPr>
          <w:rFonts w:ascii="Aptos" w:hAnsi="Aptos"/>
          <w:color w:val="auto"/>
          <w:sz w:val="20"/>
          <w:szCs w:val="20"/>
        </w:rPr>
        <w:t>s</w:t>
      </w:r>
      <w:r w:rsidRPr="004C3837">
        <w:rPr>
          <w:rFonts w:ascii="Aptos" w:hAnsi="Aptos"/>
          <w:color w:val="auto"/>
          <w:sz w:val="20"/>
          <w:szCs w:val="20"/>
        </w:rPr>
        <w:t xml:space="preserve">. CRI will review </w:t>
      </w:r>
      <w:r w:rsidR="002F29C9" w:rsidRPr="004C3837">
        <w:rPr>
          <w:rFonts w:ascii="Aptos" w:hAnsi="Aptos"/>
          <w:color w:val="auto"/>
          <w:sz w:val="20"/>
          <w:szCs w:val="20"/>
        </w:rPr>
        <w:t>the</w:t>
      </w:r>
      <w:r w:rsidRPr="004C3837">
        <w:rPr>
          <w:rFonts w:ascii="Aptos" w:hAnsi="Aptos"/>
          <w:color w:val="auto"/>
          <w:sz w:val="20"/>
          <w:szCs w:val="20"/>
        </w:rPr>
        <w:t xml:space="preserve"> content and usefulness regularly to determine if an update is or may be necessary. The nature and extent of the update will be reviewed with the CRI Board of Directors, members, stakeholders, trade associations, relevant third parties, and others where appropriate. All input received will be considered. </w:t>
      </w:r>
    </w:p>
    <w:p w14:paraId="09974504" w14:textId="77777777" w:rsidR="0027596D" w:rsidRPr="004C3837" w:rsidRDefault="0027596D" w:rsidP="004C3837">
      <w:pPr>
        <w:jc w:val="both"/>
        <w:rPr>
          <w:rFonts w:ascii="Aptos" w:hAnsi="Aptos"/>
          <w:color w:val="auto"/>
          <w:sz w:val="20"/>
          <w:szCs w:val="20"/>
        </w:rPr>
      </w:pPr>
    </w:p>
    <w:p w14:paraId="0B3F6D38" w14:textId="77777777" w:rsidR="0027596D" w:rsidRPr="004C3837" w:rsidRDefault="0027596D" w:rsidP="004C3837">
      <w:pPr>
        <w:jc w:val="both"/>
        <w:rPr>
          <w:rFonts w:ascii="Aptos" w:hAnsi="Aptos"/>
          <w:color w:val="auto"/>
          <w:sz w:val="20"/>
          <w:szCs w:val="20"/>
        </w:rPr>
      </w:pPr>
      <w:r w:rsidRPr="004C3837">
        <w:rPr>
          <w:rFonts w:ascii="Aptos" w:hAnsi="Aptos"/>
          <w:color w:val="auto"/>
          <w:sz w:val="20"/>
          <w:szCs w:val="20"/>
        </w:rPr>
        <w:t>Updates will be tracked in a Version Control Log using a consistent, two-number versioning schedule. The Version Control Log will include: (1) the version number; (2) the date of the change(s); (3) a description of the change(s); (4) the updated section(s); and (5) the relevant page number(s). For example:</w:t>
      </w:r>
    </w:p>
    <w:p w14:paraId="1B4DAAC1" w14:textId="77777777" w:rsidR="0027596D" w:rsidRPr="004C3837" w:rsidRDefault="0027596D" w:rsidP="004C3837">
      <w:pPr>
        <w:jc w:val="both"/>
        <w:rPr>
          <w:rFonts w:ascii="Aptos" w:hAnsi="Aptos"/>
          <w:color w:val="auto"/>
          <w:sz w:val="20"/>
          <w:szCs w:val="20"/>
        </w:rPr>
      </w:pPr>
    </w:p>
    <w:tbl>
      <w:tblPr>
        <w:tblStyle w:val="TableGrid"/>
        <w:tblW w:w="0" w:type="auto"/>
        <w:tblBorders>
          <w:top w:val="single" w:sz="4" w:space="0" w:color="53585F" w:themeColor="text2"/>
          <w:left w:val="single" w:sz="4" w:space="0" w:color="53585F" w:themeColor="text2"/>
          <w:bottom w:val="single" w:sz="4" w:space="0" w:color="53585F" w:themeColor="text2"/>
          <w:right w:val="single" w:sz="4" w:space="0" w:color="53585F" w:themeColor="text2"/>
          <w:insideH w:val="single" w:sz="4" w:space="0" w:color="53585F" w:themeColor="text2"/>
          <w:insideV w:val="single" w:sz="4" w:space="0" w:color="53585F" w:themeColor="text2"/>
        </w:tblBorders>
        <w:tblLook w:val="04A0" w:firstRow="1" w:lastRow="0" w:firstColumn="1" w:lastColumn="0" w:noHBand="0" w:noVBand="1"/>
      </w:tblPr>
      <w:tblGrid>
        <w:gridCol w:w="985"/>
        <w:gridCol w:w="2070"/>
        <w:gridCol w:w="2790"/>
        <w:gridCol w:w="2340"/>
        <w:gridCol w:w="1885"/>
      </w:tblGrid>
      <w:tr w:rsidR="0027596D" w:rsidRPr="004C3837" w14:paraId="399D203E" w14:textId="77777777" w:rsidTr="005C00A5">
        <w:tc>
          <w:tcPr>
            <w:tcW w:w="985" w:type="dxa"/>
            <w:shd w:val="clear" w:color="auto" w:fill="CCDCDC"/>
          </w:tcPr>
          <w:p w14:paraId="0D9C6471" w14:textId="77777777" w:rsidR="0027596D" w:rsidRPr="004C3837" w:rsidRDefault="0027596D" w:rsidP="004C3837">
            <w:pPr>
              <w:jc w:val="both"/>
              <w:rPr>
                <w:rFonts w:ascii="Aptos" w:hAnsi="Aptos"/>
                <w:b/>
                <w:bCs/>
                <w:color w:val="auto"/>
                <w:sz w:val="20"/>
                <w:szCs w:val="20"/>
              </w:rPr>
            </w:pPr>
            <w:r w:rsidRPr="004C3837">
              <w:rPr>
                <w:rFonts w:ascii="Aptos" w:hAnsi="Aptos"/>
                <w:b/>
                <w:bCs/>
                <w:color w:val="auto"/>
                <w:sz w:val="20"/>
                <w:szCs w:val="20"/>
              </w:rPr>
              <w:t>Version</w:t>
            </w:r>
          </w:p>
        </w:tc>
        <w:tc>
          <w:tcPr>
            <w:tcW w:w="2070" w:type="dxa"/>
            <w:shd w:val="clear" w:color="auto" w:fill="CCDCDC"/>
          </w:tcPr>
          <w:p w14:paraId="43C5EA9D" w14:textId="77777777" w:rsidR="0027596D" w:rsidRPr="004C3837" w:rsidRDefault="0027596D" w:rsidP="004C3837">
            <w:pPr>
              <w:jc w:val="both"/>
              <w:rPr>
                <w:rFonts w:ascii="Aptos" w:hAnsi="Aptos"/>
                <w:b/>
                <w:bCs/>
                <w:color w:val="auto"/>
                <w:sz w:val="20"/>
                <w:szCs w:val="20"/>
              </w:rPr>
            </w:pPr>
            <w:r w:rsidRPr="004C3837">
              <w:rPr>
                <w:rFonts w:ascii="Aptos" w:hAnsi="Aptos"/>
                <w:b/>
                <w:bCs/>
                <w:color w:val="auto"/>
                <w:sz w:val="20"/>
                <w:szCs w:val="20"/>
              </w:rPr>
              <w:t>Date of Change(s)</w:t>
            </w:r>
          </w:p>
        </w:tc>
        <w:tc>
          <w:tcPr>
            <w:tcW w:w="2790" w:type="dxa"/>
            <w:shd w:val="clear" w:color="auto" w:fill="CCDCDC"/>
          </w:tcPr>
          <w:p w14:paraId="1AC65F48" w14:textId="77777777" w:rsidR="0027596D" w:rsidRPr="004C3837" w:rsidRDefault="0027596D" w:rsidP="004C3837">
            <w:pPr>
              <w:jc w:val="both"/>
              <w:rPr>
                <w:rFonts w:ascii="Aptos" w:hAnsi="Aptos"/>
                <w:b/>
                <w:bCs/>
                <w:color w:val="auto"/>
                <w:sz w:val="20"/>
                <w:szCs w:val="20"/>
              </w:rPr>
            </w:pPr>
            <w:r w:rsidRPr="004C3837">
              <w:rPr>
                <w:rFonts w:ascii="Aptos" w:hAnsi="Aptos"/>
                <w:b/>
                <w:bCs/>
                <w:color w:val="auto"/>
                <w:sz w:val="20"/>
                <w:szCs w:val="20"/>
              </w:rPr>
              <w:t>Description of Change(s)</w:t>
            </w:r>
          </w:p>
        </w:tc>
        <w:tc>
          <w:tcPr>
            <w:tcW w:w="2340" w:type="dxa"/>
            <w:shd w:val="clear" w:color="auto" w:fill="CCDCDC"/>
          </w:tcPr>
          <w:p w14:paraId="47420341" w14:textId="77777777" w:rsidR="0027596D" w:rsidRPr="004C3837" w:rsidRDefault="0027596D" w:rsidP="004C3837">
            <w:pPr>
              <w:jc w:val="both"/>
              <w:rPr>
                <w:rFonts w:ascii="Aptos" w:hAnsi="Aptos"/>
                <w:b/>
                <w:bCs/>
                <w:color w:val="auto"/>
                <w:sz w:val="20"/>
                <w:szCs w:val="20"/>
              </w:rPr>
            </w:pPr>
            <w:r w:rsidRPr="004C3837">
              <w:rPr>
                <w:rFonts w:ascii="Aptos" w:hAnsi="Aptos"/>
                <w:b/>
                <w:bCs/>
                <w:color w:val="auto"/>
                <w:sz w:val="20"/>
                <w:szCs w:val="20"/>
              </w:rPr>
              <w:t>Relevant Section(s)</w:t>
            </w:r>
          </w:p>
        </w:tc>
        <w:tc>
          <w:tcPr>
            <w:tcW w:w="1885" w:type="dxa"/>
            <w:shd w:val="clear" w:color="auto" w:fill="CCDCDC"/>
          </w:tcPr>
          <w:p w14:paraId="4A83B3FF" w14:textId="77777777" w:rsidR="0027596D" w:rsidRPr="004C3837" w:rsidRDefault="0027596D" w:rsidP="004C3837">
            <w:pPr>
              <w:jc w:val="both"/>
              <w:rPr>
                <w:rFonts w:ascii="Aptos" w:hAnsi="Aptos"/>
                <w:b/>
                <w:bCs/>
                <w:color w:val="auto"/>
                <w:sz w:val="20"/>
                <w:szCs w:val="20"/>
              </w:rPr>
            </w:pPr>
            <w:r w:rsidRPr="004C3837">
              <w:rPr>
                <w:rFonts w:ascii="Aptos" w:hAnsi="Aptos"/>
                <w:b/>
                <w:bCs/>
                <w:color w:val="auto"/>
                <w:sz w:val="20"/>
                <w:szCs w:val="20"/>
              </w:rPr>
              <w:t>Page Number(s)</w:t>
            </w:r>
          </w:p>
        </w:tc>
      </w:tr>
      <w:tr w:rsidR="0027596D" w:rsidRPr="004C3837" w14:paraId="1A1B453C" w14:textId="77777777" w:rsidTr="005C00A5">
        <w:tc>
          <w:tcPr>
            <w:tcW w:w="985" w:type="dxa"/>
          </w:tcPr>
          <w:p w14:paraId="5BEAC5DC" w14:textId="77777777" w:rsidR="0027596D" w:rsidRPr="004C3837" w:rsidRDefault="0027596D" w:rsidP="004C3837">
            <w:pPr>
              <w:jc w:val="both"/>
              <w:rPr>
                <w:rFonts w:ascii="Aptos" w:hAnsi="Aptos"/>
                <w:color w:val="auto"/>
                <w:sz w:val="20"/>
                <w:szCs w:val="20"/>
              </w:rPr>
            </w:pPr>
            <w:r w:rsidRPr="004C3837">
              <w:rPr>
                <w:rFonts w:ascii="Aptos" w:hAnsi="Aptos"/>
                <w:color w:val="auto"/>
                <w:sz w:val="20"/>
                <w:szCs w:val="20"/>
              </w:rPr>
              <w:t>1.0</w:t>
            </w:r>
          </w:p>
        </w:tc>
        <w:tc>
          <w:tcPr>
            <w:tcW w:w="2070" w:type="dxa"/>
          </w:tcPr>
          <w:p w14:paraId="58B572DF" w14:textId="77777777" w:rsidR="0027596D" w:rsidRPr="004C3837" w:rsidRDefault="0027596D" w:rsidP="004C3837">
            <w:pPr>
              <w:jc w:val="both"/>
              <w:rPr>
                <w:rFonts w:ascii="Aptos" w:hAnsi="Aptos"/>
                <w:color w:val="auto"/>
                <w:sz w:val="20"/>
                <w:szCs w:val="20"/>
              </w:rPr>
            </w:pPr>
            <w:r w:rsidRPr="004C3837">
              <w:rPr>
                <w:rFonts w:ascii="Aptos" w:hAnsi="Aptos"/>
                <w:color w:val="auto"/>
                <w:sz w:val="20"/>
                <w:szCs w:val="20"/>
              </w:rPr>
              <w:t>XX/XX/XXX</w:t>
            </w:r>
          </w:p>
        </w:tc>
        <w:tc>
          <w:tcPr>
            <w:tcW w:w="2790" w:type="dxa"/>
          </w:tcPr>
          <w:p w14:paraId="4404A8B5" w14:textId="77777777" w:rsidR="0027596D" w:rsidRPr="004C3837" w:rsidRDefault="0027596D" w:rsidP="004C3837">
            <w:pPr>
              <w:jc w:val="both"/>
              <w:rPr>
                <w:rFonts w:ascii="Aptos" w:hAnsi="Aptos"/>
                <w:color w:val="auto"/>
                <w:sz w:val="20"/>
                <w:szCs w:val="20"/>
              </w:rPr>
            </w:pPr>
            <w:r w:rsidRPr="004C3837">
              <w:rPr>
                <w:rFonts w:ascii="Aptos" w:hAnsi="Aptos"/>
                <w:color w:val="auto"/>
                <w:sz w:val="20"/>
                <w:szCs w:val="20"/>
              </w:rPr>
              <w:t>[Change]</w:t>
            </w:r>
          </w:p>
        </w:tc>
        <w:tc>
          <w:tcPr>
            <w:tcW w:w="2340" w:type="dxa"/>
          </w:tcPr>
          <w:p w14:paraId="01C8FD7A" w14:textId="77777777" w:rsidR="0027596D" w:rsidRPr="004C3837" w:rsidRDefault="0027596D" w:rsidP="004C3837">
            <w:pPr>
              <w:jc w:val="both"/>
              <w:rPr>
                <w:rFonts w:ascii="Aptos" w:hAnsi="Aptos"/>
                <w:color w:val="auto"/>
                <w:sz w:val="20"/>
                <w:szCs w:val="20"/>
              </w:rPr>
            </w:pPr>
            <w:r w:rsidRPr="004C3837">
              <w:rPr>
                <w:rFonts w:ascii="Aptos" w:hAnsi="Aptos"/>
                <w:color w:val="auto"/>
                <w:sz w:val="20"/>
                <w:szCs w:val="20"/>
              </w:rPr>
              <w:t>[Section]</w:t>
            </w:r>
          </w:p>
        </w:tc>
        <w:tc>
          <w:tcPr>
            <w:tcW w:w="1885" w:type="dxa"/>
          </w:tcPr>
          <w:p w14:paraId="16B0DD02" w14:textId="77777777" w:rsidR="0027596D" w:rsidRPr="004C3837" w:rsidRDefault="0027596D" w:rsidP="004C3837">
            <w:pPr>
              <w:jc w:val="both"/>
              <w:rPr>
                <w:rFonts w:ascii="Aptos" w:hAnsi="Aptos"/>
                <w:color w:val="auto"/>
                <w:sz w:val="20"/>
                <w:szCs w:val="20"/>
              </w:rPr>
            </w:pPr>
          </w:p>
        </w:tc>
      </w:tr>
    </w:tbl>
    <w:p w14:paraId="233BDF6C" w14:textId="77777777" w:rsidR="0027596D" w:rsidRPr="004C3837" w:rsidRDefault="0027596D" w:rsidP="004C3837">
      <w:pPr>
        <w:jc w:val="both"/>
        <w:rPr>
          <w:rFonts w:ascii="Aptos" w:hAnsi="Aptos"/>
          <w:color w:val="auto"/>
          <w:sz w:val="20"/>
          <w:szCs w:val="20"/>
        </w:rPr>
      </w:pPr>
    </w:p>
    <w:p w14:paraId="4AF6F6CB" w14:textId="77777777" w:rsidR="0027596D" w:rsidRPr="004C3837" w:rsidRDefault="0027596D" w:rsidP="004C3837">
      <w:pPr>
        <w:jc w:val="both"/>
        <w:rPr>
          <w:rFonts w:ascii="Aptos" w:hAnsi="Aptos"/>
          <w:color w:val="auto"/>
          <w:sz w:val="20"/>
          <w:szCs w:val="20"/>
        </w:rPr>
      </w:pPr>
      <w:r w:rsidRPr="004C3837">
        <w:rPr>
          <w:rFonts w:ascii="Aptos" w:hAnsi="Aptos"/>
          <w:color w:val="auto"/>
          <w:sz w:val="20"/>
          <w:szCs w:val="20"/>
        </w:rPr>
        <w:t xml:space="preserve">General comments and change requests should be sent to </w:t>
      </w:r>
      <w:hyperlink r:id="rId14" w:history="1">
        <w:r w:rsidRPr="004C3837">
          <w:rPr>
            <w:rStyle w:val="Hyperlink"/>
            <w:rFonts w:ascii="Aptos" w:hAnsi="Aptos"/>
            <w:sz w:val="20"/>
            <w:szCs w:val="20"/>
          </w:rPr>
          <w:t>Secretariat@cyberriskinstitute.org</w:t>
        </w:r>
      </w:hyperlink>
      <w:r w:rsidRPr="004C3837">
        <w:rPr>
          <w:rFonts w:ascii="Aptos" w:hAnsi="Aptos"/>
          <w:color w:val="auto"/>
          <w:sz w:val="20"/>
          <w:szCs w:val="20"/>
        </w:rPr>
        <w:t xml:space="preserve"> and will be reviewed at least semi-annually.  </w:t>
      </w:r>
    </w:p>
    <w:p w14:paraId="7D1CF9BC" w14:textId="4E5D5D78" w:rsidR="0027596D" w:rsidRDefault="0027596D">
      <w:pPr>
        <w:rPr>
          <w:rFonts w:ascii="Aptos" w:hAnsi="Aptos"/>
          <w:color w:val="auto"/>
        </w:rPr>
      </w:pPr>
      <w:r>
        <w:rPr>
          <w:rFonts w:ascii="Aptos" w:hAnsi="Aptos"/>
          <w:color w:val="auto"/>
        </w:rPr>
        <w:br w:type="page"/>
      </w:r>
    </w:p>
    <w:p w14:paraId="04AF3289"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9" w:name="_Toc221016938"/>
      <w:r w:rsidRPr="00963E47">
        <w:rPr>
          <w:rFonts w:ascii="Aptos" w:eastAsia="Aptos" w:hAnsi="Aptos" w:cs="Times New Roman"/>
          <w:b/>
          <w:bCs/>
          <w:noProof/>
          <w:color w:val="35256B"/>
          <w:kern w:val="2"/>
          <w:sz w:val="24"/>
          <w14:ligatures w14:val="standardContextual"/>
        </w:rPr>
        <w:lastRenderedPageBreak/>
        <w:t>GOVERN / Establishing Key Policies &amp; Processes / Legal and Regulatory Compliance</w:t>
      </w:r>
      <w:bookmarkEnd w:id="9"/>
      <w:r w:rsidRPr="00963E47">
        <w:rPr>
          <w:rFonts w:ascii="Aptos" w:eastAsia="Aptos" w:hAnsi="Aptos" w:cs="Times New Roman"/>
          <w:b/>
          <w:bCs/>
          <w:noProof/>
          <w:color w:val="35256B"/>
          <w:kern w:val="2"/>
          <w:sz w:val="24"/>
          <w14:ligatures w14:val="standardContextual"/>
        </w:rPr>
        <w:t xml:space="preserve"> </w:t>
      </w:r>
    </w:p>
    <w:p w14:paraId="503269E4"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39152B8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7C34338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6C5358A0" w14:textId="77777777" w:rsidTr="005C00A5">
        <w:tc>
          <w:tcPr>
            <w:tcW w:w="1170" w:type="dxa"/>
          </w:tcPr>
          <w:p w14:paraId="79AADA66"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2A89792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76F9E857"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3EC6E0B3" w14:textId="77777777" w:rsidTr="005C00A5">
        <w:tc>
          <w:tcPr>
            <w:tcW w:w="1170" w:type="dxa"/>
          </w:tcPr>
          <w:p w14:paraId="547BD84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GV-1.1.1</w:t>
            </w:r>
          </w:p>
        </w:tc>
        <w:tc>
          <w:tcPr>
            <w:tcW w:w="2160" w:type="dxa"/>
          </w:tcPr>
          <w:p w14:paraId="2E23FF4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Legal, Regulatory, and Policy Integration</w:t>
            </w:r>
          </w:p>
        </w:tc>
        <w:tc>
          <w:tcPr>
            <w:tcW w:w="6740" w:type="dxa"/>
          </w:tcPr>
          <w:p w14:paraId="3604C2BF" w14:textId="73117F53"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identifies, monitors, and integrates applicable laws, regulations, contractual obligations, and sector requirements into policies, procedures, and operations governing AI. This includes updating governance artifacts</w:t>
            </w:r>
            <w:r w:rsidR="00972E4E">
              <w:rPr>
                <w:rFonts w:ascii="Aptos" w:hAnsi="Aptos" w:cs="Times New Roman"/>
                <w:noProof/>
                <w:color w:val="000000"/>
                <w:sz w:val="20"/>
                <w:szCs w:val="20"/>
              </w:rPr>
              <w:t xml:space="preserve"> and</w:t>
            </w:r>
            <w:r w:rsidRPr="00963E47">
              <w:rPr>
                <w:rFonts w:ascii="Aptos" w:hAnsi="Aptos" w:cs="Times New Roman"/>
                <w:noProof/>
                <w:color w:val="000000"/>
                <w:sz w:val="20"/>
                <w:szCs w:val="20"/>
              </w:rPr>
              <w:t xml:space="preserve"> aligning operational practices as requirements evolve.</w:t>
            </w:r>
          </w:p>
          <w:p w14:paraId="6FAFFA91" w14:textId="77777777" w:rsidR="00963E47" w:rsidRPr="00963E47" w:rsidRDefault="00963E47" w:rsidP="004C3837">
            <w:pPr>
              <w:keepNext/>
              <w:rPr>
                <w:rFonts w:ascii="Aptos" w:hAnsi="Aptos" w:cs="Times New Roman"/>
                <w:b/>
                <w:bCs/>
                <w:color w:val="000000"/>
                <w:sz w:val="20"/>
                <w:szCs w:val="20"/>
              </w:rPr>
            </w:pPr>
          </w:p>
          <w:p w14:paraId="4D2C7D11" w14:textId="77777777" w:rsidR="00963E47" w:rsidRPr="00963E47" w:rsidRDefault="00963E47" w:rsidP="004C3837">
            <w:pPr>
              <w:keepNext/>
              <w:rPr>
                <w:rFonts w:ascii="Aptos" w:hAnsi="Aptos" w:cs="Times New Roman"/>
                <w:b/>
                <w:bCs/>
                <w:color w:val="000000"/>
                <w:sz w:val="20"/>
                <w:szCs w:val="20"/>
              </w:rPr>
            </w:pPr>
            <w:hyperlink r:id="rId15" w:anchor="govern-1-1" w:history="1">
              <w:r w:rsidRPr="00963E47">
                <w:rPr>
                  <w:rFonts w:ascii="Aptos" w:hAnsi="Aptos" w:cs="Times New Roman"/>
                  <w:color w:val="000000"/>
                  <w:sz w:val="20"/>
                  <w:szCs w:val="20"/>
                  <w:u w:val="single"/>
                </w:rPr>
                <w:t>Link to NIST AI RMF Playbook</w:t>
              </w:r>
            </w:hyperlink>
          </w:p>
        </w:tc>
      </w:tr>
    </w:tbl>
    <w:p w14:paraId="6EA6FF9A"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17A8A937"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3C70569B"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3935A5F5" w14:textId="77777777" w:rsidTr="005C00A5">
        <w:trPr>
          <w:tblHeader/>
        </w:trPr>
        <w:tc>
          <w:tcPr>
            <w:tcW w:w="2160" w:type="dxa"/>
            <w:shd w:val="clear" w:color="auto" w:fill="CCDCDC"/>
            <w:vAlign w:val="center"/>
          </w:tcPr>
          <w:p w14:paraId="3CB757EB"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60B4A384"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0CF1F44B"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240AA7C1" w14:textId="77777777" w:rsidTr="005C00A5">
        <w:tc>
          <w:tcPr>
            <w:tcW w:w="2160" w:type="dxa"/>
            <w:shd w:val="clear" w:color="auto" w:fill="CCDCDC"/>
          </w:tcPr>
          <w:p w14:paraId="5A2C7122"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75FD09F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0774B9D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are beginning to recognize the importance of monitoring relevant laws, regulations, and requirements related to AI. However, the process is likely to be informal, ad-hoc, and lacking systematic implementation.</w:t>
            </w:r>
          </w:p>
        </w:tc>
      </w:tr>
      <w:tr w:rsidR="00963E47" w:rsidRPr="00963E47" w14:paraId="2A428903" w14:textId="77777777" w:rsidTr="005C00A5">
        <w:tc>
          <w:tcPr>
            <w:tcW w:w="2160" w:type="dxa"/>
            <w:shd w:val="clear" w:color="auto" w:fill="CCDCDC"/>
          </w:tcPr>
          <w:p w14:paraId="47D25C7F"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6C33559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0868744E"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minimal stage have established a basic process for tracking some relevant AI-related laws and regulations. However, the approach may not be comprehensive, consistently applied, or well-documented.</w:t>
            </w:r>
          </w:p>
        </w:tc>
      </w:tr>
      <w:tr w:rsidR="00963E47" w:rsidRPr="00963E47" w14:paraId="3157556A" w14:textId="77777777" w:rsidTr="005C00A5">
        <w:tc>
          <w:tcPr>
            <w:tcW w:w="2160" w:type="dxa"/>
            <w:shd w:val="clear" w:color="auto" w:fill="CCDCDC"/>
          </w:tcPr>
          <w:p w14:paraId="558F062A"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6AEC5D6F"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08C965E9"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have a well-defined and documented process for actively monitoring and maintaining awareness of AI-related legal and regulatory requirements. They likely utilize technological tools or legal expertise to systematically track, update, and apply these requirements.</w:t>
            </w:r>
          </w:p>
        </w:tc>
      </w:tr>
      <w:tr w:rsidR="00963E47" w:rsidRPr="00963E47" w14:paraId="119AEAE0" w14:textId="77777777" w:rsidTr="005C00A5">
        <w:tc>
          <w:tcPr>
            <w:tcW w:w="2160" w:type="dxa"/>
            <w:shd w:val="clear" w:color="auto" w:fill="CCDCDC"/>
          </w:tcPr>
          <w:p w14:paraId="7E749F11"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5B074E07"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249505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embedded stage have fully implemented, automated, or integrated processes for ensuring constant awareness of AI-related legal and regulatory changes. These processes are deeply embedded into their operations and decision-making across various functions.</w:t>
            </w:r>
          </w:p>
        </w:tc>
      </w:tr>
    </w:tbl>
    <w:p w14:paraId="7F3156BB"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5D100AAE" w14:textId="77777777" w:rsidTr="005C00A5">
        <w:tc>
          <w:tcPr>
            <w:tcW w:w="2250" w:type="dxa"/>
          </w:tcPr>
          <w:p w14:paraId="22D94F7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05C9D10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2A641896"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2AB210FA" w14:textId="77777777" w:rsidTr="005C00A5">
        <w:tc>
          <w:tcPr>
            <w:tcW w:w="2250" w:type="dxa"/>
          </w:tcPr>
          <w:p w14:paraId="4B76AD6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22E6E30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Regulatory Monitoring Failure</w:t>
            </w:r>
          </w:p>
        </w:tc>
        <w:tc>
          <w:tcPr>
            <w:tcW w:w="5300" w:type="dxa"/>
          </w:tcPr>
          <w:p w14:paraId="0E9FFCCE"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laws, regulations, policies, and other obligations are not monitored effectively or adhered to</w:t>
            </w:r>
          </w:p>
        </w:tc>
      </w:tr>
    </w:tbl>
    <w:p w14:paraId="0C420BC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CC9C92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44368F1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7C1B7E5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Establish a process to actively monitor and review relevant laws, regulations, contractual obligations, and sector requirements impacting AI on a regular basis. Assign responsibility to a specific team or individual, such as a legal or compliance department, to track updates and communicate them to relevant stakeholders.</w:t>
      </w:r>
    </w:p>
    <w:p w14:paraId="45CA3FB8"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7AFB629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Participate in industry forums, subscribe to regulatory alerts, and engage with legal experts to stay informed of emerging developments in the AI regulatory landscape. Ensure that organizational policies and operations are aligned with these requirements, and incorporate safeguards to prevent the use of AI in ways that could violate legal or organizational standards. Restrict activities that may lead to unfair or deceptive practices, and enforce governance around AI deployment.</w:t>
      </w:r>
    </w:p>
    <w:p w14:paraId="5ADB8CD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lastRenderedPageBreak/>
        <w:t xml:space="preserve">Example Controls and Evidence: </w:t>
      </w:r>
    </w:p>
    <w:p w14:paraId="33B834D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CD09A5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Regulatory Monitoring Program</w:t>
      </w:r>
    </w:p>
    <w:p w14:paraId="29BDBAD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Create a cross-functional regulatory monitoring team (legal, compliance, privacy, security, and AI/ML leads) responsible for identifying, assessing, and communicating new or changing laws, regulations, and sector guidance that affect AI systems. This team should maintain a documented risk register and escalation process for items requiring organizational action.</w:t>
      </w:r>
    </w:p>
    <w:p w14:paraId="6EB5D5F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0DF763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Charter or terms of reference for the regulatory monitoring team.</w:t>
      </w:r>
    </w:p>
    <w:p w14:paraId="27C63EF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Meeting minutes, agendas, and action item logs showing regulatory reviews.</w:t>
      </w:r>
    </w:p>
    <w:p w14:paraId="7B6B868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AI regulatory risk register with assessments and assigned owners.</w:t>
      </w:r>
    </w:p>
    <w:p w14:paraId="6714538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Escalation records showing regulatory issues forwarded to senior leadership or the board.</w:t>
      </w:r>
    </w:p>
    <w:p w14:paraId="11D5AA08"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CE8A0AA"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External Intelligence Subscriptions and Alerts</w:t>
      </w:r>
    </w:p>
    <w:p w14:paraId="1368769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Subscribe to and maintain active feeds from regulatory databases, legal alert services, industry associations, and standards bodies to receive timely notifications about relevant legal and sector developments. Assign personnel to triage and summarize alerts for stakeholders.</w:t>
      </w:r>
    </w:p>
    <w:p w14:paraId="299A811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756D0A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Subscription invoices/agreements for legal/regulatory intelligence services (e.g., regulatory databases, industry alerts).</w:t>
      </w:r>
    </w:p>
    <w:p w14:paraId="488E8DB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Alert digest emails or summaries distributed to stakeholders.</w:t>
      </w:r>
    </w:p>
    <w:p w14:paraId="1FDEE45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Logs or trackers showing alerts received and triage actions taken.</w:t>
      </w:r>
    </w:p>
    <w:p w14:paraId="44EBC9E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Assigned roles/responsibilities documentation for alert triage.</w:t>
      </w:r>
    </w:p>
    <w:p w14:paraId="24ADA85E" w14:textId="77777777" w:rsidR="00963E47" w:rsidRPr="00963E47" w:rsidRDefault="00963E47" w:rsidP="004C3837">
      <w:pPr>
        <w:rPr>
          <w:rFonts w:ascii="Aptos" w:eastAsia="Aptos" w:hAnsi="Aptos" w:cs="Times New Roman"/>
          <w:color w:val="auto"/>
          <w:kern w:val="2"/>
          <w:sz w:val="20"/>
          <w:szCs w:val="20"/>
          <w14:ligatures w14:val="standardContextual"/>
        </w:rPr>
      </w:pPr>
    </w:p>
    <w:p w14:paraId="3520E4E2"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Contractual Obligation Management for AI Clauses</w:t>
      </w:r>
    </w:p>
    <w:p w14:paraId="49F9778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 a contract review and tracking process focused on AI-specific contractual obligations (e.g., data usage, model performance, audit rights, liability, and regulatory compliance) to ensure contractual commitments are captured, assigned, and monitored.</w:t>
      </w:r>
    </w:p>
    <w:p w14:paraId="026C9167"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1A12D7D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Repository of AI-related contract clauses or redlines and associated metadata.</w:t>
      </w:r>
    </w:p>
    <w:p w14:paraId="5FEF082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Contract obligation register showing AI-specific obligations, owners, and due dates.</w:t>
      </w:r>
    </w:p>
    <w:p w14:paraId="7018C81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Contract review checklist or template that includes AI, privacy, and regulatory items.</w:t>
      </w:r>
    </w:p>
    <w:p w14:paraId="01C0E0D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contract review meetings and sign-offs.</w:t>
      </w:r>
    </w:p>
    <w:p w14:paraId="5F7F5546" w14:textId="77777777" w:rsidR="00963E47" w:rsidRPr="00963E47" w:rsidRDefault="00963E47" w:rsidP="004C3837">
      <w:pPr>
        <w:rPr>
          <w:rFonts w:ascii="Aptos" w:eastAsia="Aptos" w:hAnsi="Aptos" w:cs="Times New Roman"/>
          <w:color w:val="auto"/>
          <w:kern w:val="2"/>
          <w:sz w:val="20"/>
          <w:szCs w:val="20"/>
          <w14:ligatures w14:val="standardContextual"/>
        </w:rPr>
      </w:pPr>
    </w:p>
    <w:p w14:paraId="32F75A3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Policy and Procedure Review Cycle Linked to Regulatory Changes</w:t>
      </w:r>
    </w:p>
    <w:p w14:paraId="564CBD2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documented AI governance policies and procedures with a formal review cycle triggered by regulatory or sector changes; ensure updates are versioned, approved, and communicated to affected teams.</w:t>
      </w:r>
    </w:p>
    <w:p w14:paraId="590184D1"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A51253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documents with version history and approval signatures.</w:t>
      </w:r>
    </w:p>
    <w:p w14:paraId="060E4A7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 logs showing policy updates mapped to specific regulatory or guidance changes.</w:t>
      </w:r>
    </w:p>
    <w:p w14:paraId="6D4A63C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Communication records (email, intranet posts, training) announcing policy revisions.</w:t>
      </w:r>
    </w:p>
    <w:p w14:paraId="59E2D93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completion reports showing staff acknowledged updated policies.</w:t>
      </w:r>
    </w:p>
    <w:p w14:paraId="6EB483B9"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E2E4180"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Regulatory Impact Assessments and Control Implementation Plans</w:t>
      </w:r>
    </w:p>
    <w:p w14:paraId="6F93978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For material regulatory changes, perform documented regulatory impact assessments (RIAs) for affected AI systems that identify gaps, remediation actions, timelines, and resource requirements; track remediation to closure.</w:t>
      </w:r>
    </w:p>
    <w:p w14:paraId="0C29E414"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E1F7D7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Completed regulatory impact assessment reports for specific regulations.</w:t>
      </w:r>
    </w:p>
    <w:p w14:paraId="591C88B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Remediation/action plans with timelines, owners, and status updates.</w:t>
      </w:r>
    </w:p>
    <w:p w14:paraId="36B6539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lastRenderedPageBreak/>
        <w:t>• Project management artifacts (Gantt charts, tickets) tracking remediation tasks.</w:t>
      </w:r>
    </w:p>
    <w:p w14:paraId="0BB2742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Validation evidence showing implemented changes (test reports, configuration baselines).</w:t>
      </w:r>
    </w:p>
    <w:p w14:paraId="581F700F"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491AD281"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250A7DA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1E831A8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41672378" w14:textId="77777777" w:rsidTr="005C00A5">
        <w:tc>
          <w:tcPr>
            <w:tcW w:w="1170" w:type="dxa"/>
          </w:tcPr>
          <w:p w14:paraId="269D82FD"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03B6E481"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1A68CC02"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0FAFD84F" w14:textId="77777777" w:rsidTr="005C00A5">
        <w:tc>
          <w:tcPr>
            <w:tcW w:w="1170" w:type="dxa"/>
          </w:tcPr>
          <w:p w14:paraId="2CC89C0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GV-1.1.2</w:t>
            </w:r>
          </w:p>
        </w:tc>
        <w:tc>
          <w:tcPr>
            <w:tcW w:w="2160" w:type="dxa"/>
          </w:tcPr>
          <w:p w14:paraId="2716351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Compliance Responsibilities Management</w:t>
            </w:r>
          </w:p>
        </w:tc>
        <w:tc>
          <w:tcPr>
            <w:tcW w:w="6740" w:type="dxa"/>
          </w:tcPr>
          <w:p w14:paraId="19FFCC4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clearly assigns, documents, and regularly validates its compliance responsibilities for AI-related legal, regulatory, contractual requirements, and internal organizational AI policies.</w:t>
            </w:r>
          </w:p>
          <w:p w14:paraId="054CDBF3" w14:textId="77777777" w:rsidR="00963E47" w:rsidRPr="00963E47" w:rsidRDefault="00963E47" w:rsidP="004C3837">
            <w:pPr>
              <w:keepNext/>
              <w:rPr>
                <w:rFonts w:ascii="Aptos" w:hAnsi="Aptos" w:cs="Times New Roman"/>
                <w:b/>
                <w:bCs/>
                <w:color w:val="000000"/>
                <w:sz w:val="20"/>
                <w:szCs w:val="20"/>
              </w:rPr>
            </w:pPr>
          </w:p>
          <w:p w14:paraId="709E9B11" w14:textId="77777777" w:rsidR="00963E47" w:rsidRPr="00963E47" w:rsidRDefault="00963E47" w:rsidP="004C3837">
            <w:pPr>
              <w:keepNext/>
              <w:rPr>
                <w:rFonts w:ascii="Aptos" w:hAnsi="Aptos" w:cs="Times New Roman"/>
                <w:b/>
                <w:bCs/>
                <w:color w:val="000000"/>
                <w:sz w:val="20"/>
                <w:szCs w:val="20"/>
              </w:rPr>
            </w:pPr>
            <w:hyperlink r:id="rId16" w:anchor="govern-1-1" w:history="1">
              <w:r w:rsidRPr="00963E47">
                <w:rPr>
                  <w:rFonts w:ascii="Aptos" w:hAnsi="Aptos" w:cs="Times New Roman"/>
                  <w:color w:val="000000"/>
                  <w:sz w:val="20"/>
                  <w:szCs w:val="20"/>
                  <w:u w:val="single"/>
                </w:rPr>
                <w:t>Link to NIST AI RMF Playbook</w:t>
              </w:r>
            </w:hyperlink>
          </w:p>
        </w:tc>
      </w:tr>
    </w:tbl>
    <w:p w14:paraId="680A0F5C"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64FC3342"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3A4747F7"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1236E9D4" w14:textId="77777777" w:rsidTr="005C00A5">
        <w:trPr>
          <w:tblHeader/>
        </w:trPr>
        <w:tc>
          <w:tcPr>
            <w:tcW w:w="2160" w:type="dxa"/>
            <w:shd w:val="clear" w:color="auto" w:fill="CCDCDC"/>
            <w:vAlign w:val="center"/>
          </w:tcPr>
          <w:p w14:paraId="5BA0922A"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3A144161"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361D0433"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71D4175F" w14:textId="77777777" w:rsidTr="005C00A5">
        <w:tc>
          <w:tcPr>
            <w:tcW w:w="2160" w:type="dxa"/>
            <w:shd w:val="clear" w:color="auto" w:fill="CCDCDC"/>
          </w:tcPr>
          <w:p w14:paraId="5FB52090"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42AF1725"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217B052"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responsibilities for compliance are typically assigned in an informal or ad-hoc manner. Documentation and regular validation might not be consistent.</w:t>
            </w:r>
          </w:p>
        </w:tc>
      </w:tr>
      <w:tr w:rsidR="00963E47" w:rsidRPr="00963E47" w14:paraId="0A6B0C77" w14:textId="77777777" w:rsidTr="005C00A5">
        <w:tc>
          <w:tcPr>
            <w:tcW w:w="2160" w:type="dxa"/>
            <w:shd w:val="clear" w:color="auto" w:fill="CCDCDC"/>
          </w:tcPr>
          <w:p w14:paraId="709192B1"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1BB581D2"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1D420FF6"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have started to assign and document certain AI compliance responsibilities. However, the process may be incomplete, inconsistently applied, and lack regular validation.</w:t>
            </w:r>
          </w:p>
        </w:tc>
      </w:tr>
      <w:tr w:rsidR="00963E47" w:rsidRPr="00963E47" w14:paraId="517F197A" w14:textId="77777777" w:rsidTr="005C00A5">
        <w:tc>
          <w:tcPr>
            <w:tcW w:w="2160" w:type="dxa"/>
            <w:shd w:val="clear" w:color="auto" w:fill="CCDCDC"/>
          </w:tcPr>
          <w:p w14:paraId="47C9D845"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257A9AE5"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B951622"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have comprehensively assigned, documented, and communicated AI compliance responsibilities across relevant functions. They conduct periodic validations to ensure continued accountability and effectiveness.</w:t>
            </w:r>
          </w:p>
        </w:tc>
      </w:tr>
      <w:tr w:rsidR="00963E47" w:rsidRPr="00963E47" w14:paraId="3D024A6D" w14:textId="77777777" w:rsidTr="005C00A5">
        <w:tc>
          <w:tcPr>
            <w:tcW w:w="2160" w:type="dxa"/>
            <w:shd w:val="clear" w:color="auto" w:fill="CCDCDC"/>
          </w:tcPr>
          <w:p w14:paraId="1401325E"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0CF5F9D9"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37EA81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assign and document AI compliance responsibilities that are detailed, systematic, and integrated into the organization's overall compliance management framework. A robust validation process ensures consistent adherence and continuous improvement.</w:t>
            </w:r>
          </w:p>
        </w:tc>
      </w:tr>
    </w:tbl>
    <w:p w14:paraId="1BEDFE8F"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16609A27" w14:textId="77777777" w:rsidTr="005C00A5">
        <w:tc>
          <w:tcPr>
            <w:tcW w:w="2250" w:type="dxa"/>
          </w:tcPr>
          <w:p w14:paraId="144B67F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2BDFB15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3FA41FB1"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01F806D0" w14:textId="77777777" w:rsidTr="005C00A5">
        <w:tc>
          <w:tcPr>
            <w:tcW w:w="2250" w:type="dxa"/>
          </w:tcPr>
          <w:p w14:paraId="13067D4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7B009542"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Unclear Compliance Responsibilities</w:t>
            </w:r>
          </w:p>
        </w:tc>
        <w:tc>
          <w:tcPr>
            <w:tcW w:w="5300" w:type="dxa"/>
          </w:tcPr>
          <w:p w14:paraId="606AF2F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Compliance responsibilities for AI laws and other obligations are not clearly assigned or validated</w:t>
            </w:r>
          </w:p>
        </w:tc>
      </w:tr>
    </w:tbl>
    <w:p w14:paraId="232A1090"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1FCA243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28DCB39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5E27EA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Define and document roles and responsibilities to comply with AI-related legal, regulatory, contractual requirements, and internal organizational AI policies. Create a matrix or chart that maps specific compliance tasks to designated individuals or teams, including timelines for completion.</w:t>
      </w:r>
    </w:p>
    <w:p w14:paraId="4D2080A3"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72F3D61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Emphasize the restriction of non-compliant or high-risk AI activities (e.g., assigning oversight roles specifically focused on preventing misuse). Establish accountability mechanisms as new governance practices and controls are implemented.</w:t>
      </w:r>
    </w:p>
    <w:p w14:paraId="0F69FBC4"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6FEC50F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Conduct regular validation of these responsibilities through periodic reviews or audits to ensure that assigned parties fulfill their obligations effectively, including adherence to internal policies. Establish clear communication channels to facilitate collaboration and information sharing among relevant stakeholders. Consider implementing escalation </w:t>
      </w:r>
      <w:r w:rsidRPr="00963E47">
        <w:rPr>
          <w:rFonts w:ascii="Aptos" w:eastAsia="Aptos" w:hAnsi="Aptos" w:cs="Times New Roman"/>
          <w:noProof/>
          <w:color w:val="auto"/>
          <w:kern w:val="2"/>
          <w:sz w:val="20"/>
          <w:szCs w:val="20"/>
          <w14:ligatures w14:val="standardContextual"/>
        </w:rPr>
        <w:lastRenderedPageBreak/>
        <w:t>processes for addressing misuse or non-compliance to help mitigate risks and reinforce commitment to AI  Trustworthy Principles.</w:t>
      </w:r>
    </w:p>
    <w:p w14:paraId="57EAE780"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69BFF655"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045A1D1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101B62D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Roles and Responsibilities Matrix (RACI) for AI Compliance</w:t>
      </w:r>
    </w:p>
    <w:p w14:paraId="05AA7C6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a documented RACI (or equivalent) matrix that maps AI-related legal, regulatory, contractual, and internal policy obligations to specific roles or functions (e.g., data owners, legal, privacy, security, AI/ML engineers, business owners). Review and update the matrix at least annually or when organizational changes occur.</w:t>
      </w:r>
    </w:p>
    <w:p w14:paraId="7873A07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6E094C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RACI matrix or responsibility matrix with sign-off from leadership.</w:t>
      </w:r>
    </w:p>
    <w:p w14:paraId="70B9821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 history showing periodic reviews and updates.</w:t>
      </w:r>
    </w:p>
    <w:p w14:paraId="17BFC13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Organizational charts or role descriptions aligning named individuals to RACI entries.</w:t>
      </w:r>
    </w:p>
    <w:p w14:paraId="3263F1F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Meeting minutes where RACI changes or assignments were approved.</w:t>
      </w:r>
    </w:p>
    <w:p w14:paraId="3F472152"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6D61949"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Documented Ownership and Escalation Procedures</w:t>
      </w:r>
    </w:p>
    <w:p w14:paraId="7E94DED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Define and publish procedures that specify how ownership of compliance obligations is assigned, how owners accept responsibility, and the escalation path for unresolved compliance gaps or incidents. Include SLA (Service Level Agreement) timelines for owner responses.</w:t>
      </w:r>
    </w:p>
    <w:p w14:paraId="30357F0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F55F2F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Published ownership and escalation procedure document.</w:t>
      </w:r>
    </w:p>
    <w:p w14:paraId="6F5626D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owner acknowledgements (e.g., signed statements, email confirmations).</w:t>
      </w:r>
    </w:p>
    <w:p w14:paraId="571D331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Escalation logs showing issues raised, escalated, and resolved.</w:t>
      </w:r>
    </w:p>
    <w:p w14:paraId="163EC91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SLA or response-time metrics and reports demonstrating compliance with timelines.</w:t>
      </w:r>
    </w:p>
    <w:p w14:paraId="01B60E64"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052D64A"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Compliance Responsibility Onboarding and Offboarding Process</w:t>
      </w:r>
    </w:p>
    <w:p w14:paraId="44F3A50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Integrate AI compliance responsibilities into employee onboarding, role changes, and offboarding so that accountability is transferred and documented when personnel or contractors change roles.</w:t>
      </w:r>
    </w:p>
    <w:p w14:paraId="5210089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C256D8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Onboarding/offboarding checklists that include AI compliance handover tasks.</w:t>
      </w:r>
    </w:p>
    <w:p w14:paraId="52E7BF7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Human Resources (HR) or access-management records showing role changes and completed handovers.</w:t>
      </w:r>
    </w:p>
    <w:p w14:paraId="1FAA0A6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Dated acknowledgement forms or training completion records tied to role assignments.</w:t>
      </w:r>
    </w:p>
    <w:p w14:paraId="595D21A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Access change tickets or logs showing transfer of system/contract permissions.</w:t>
      </w:r>
    </w:p>
    <w:p w14:paraId="64DFD0AA"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954E5EB"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Periodic Validation and Assurance Reviews</w:t>
      </w:r>
    </w:p>
    <w:p w14:paraId="4905523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Conduct scheduled validation activities (e.g., internal audits, targeted control testing, compliance assessments) to verify that assigned owners are fulfilling AI compliance responsibilities and that controls are operating effectively. Document findings and remediation.</w:t>
      </w:r>
    </w:p>
    <w:p w14:paraId="6C3107B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000CBB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Internal audit or assessment reports focused on AI compliance roles and controls.</w:t>
      </w:r>
    </w:p>
    <w:p w14:paraId="29952BF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Test results and control evidence sample files showing owner activities (e.g., policy reviews, contract checks).</w:t>
      </w:r>
    </w:p>
    <w:p w14:paraId="5AC36FF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Issue logs with remediation plans, owners, and closure evidence.</w:t>
      </w:r>
    </w:p>
    <w:p w14:paraId="16AAAE5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Management responses and board-level briefings on validation outcomes.</w:t>
      </w:r>
    </w:p>
    <w:p w14:paraId="2CEF437B"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1FC9388"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Automated Tracking and Compliance Registry</w:t>
      </w:r>
    </w:p>
    <w:p w14:paraId="01B4BE0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 a centralized, searchable compliance registry or tool that records AI-related obligations, assigned owners, due dates, status, and evidence attachments; enable automated reminders and periodic owner attestations.</w:t>
      </w:r>
    </w:p>
    <w:p w14:paraId="0DEB8CB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082A88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Screenshots or exports from the compliance registry showing obligations, owners, and statuses.</w:t>
      </w:r>
    </w:p>
    <w:p w14:paraId="4F87C4D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lastRenderedPageBreak/>
        <w:t>• Automated reminder logs and owner attestation records (timestamped).</w:t>
      </w:r>
    </w:p>
    <w:p w14:paraId="269753B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Linked evidence attachments (policy approvals, contract excerpts) accessible from the registry.</w:t>
      </w:r>
    </w:p>
    <w:p w14:paraId="16740EC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Reports demonstrating overdue items, resolution history, and metrics tracked over time.</w:t>
      </w:r>
    </w:p>
    <w:p w14:paraId="7D683DC3"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23164EA3"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0FFEBC7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3A91E2E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7CE07610" w14:textId="77777777" w:rsidTr="005C00A5">
        <w:tc>
          <w:tcPr>
            <w:tcW w:w="1170" w:type="dxa"/>
          </w:tcPr>
          <w:p w14:paraId="09BA631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4E77C1B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634F864F"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37B4F418" w14:textId="77777777" w:rsidTr="005C00A5">
        <w:tc>
          <w:tcPr>
            <w:tcW w:w="1170" w:type="dxa"/>
          </w:tcPr>
          <w:p w14:paraId="4A1E3D32"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GV-1.1.6</w:t>
            </w:r>
          </w:p>
        </w:tc>
        <w:tc>
          <w:tcPr>
            <w:tcW w:w="2160" w:type="dxa"/>
          </w:tcPr>
          <w:p w14:paraId="051E8AE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Data Lifecycle and Retention</w:t>
            </w:r>
          </w:p>
        </w:tc>
        <w:tc>
          <w:tcPr>
            <w:tcW w:w="6740" w:type="dxa"/>
          </w:tcPr>
          <w:p w14:paraId="7FC343F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ensures that data retention policies, privacy requirements, and legal obligations governing data lifecycle management are integrated into its AI system lifecycle processes. It maintains records of data retention periods, manages data deletion or archiving in compliance with privacy norms, and verifies that training datasets adhere to these policies, especially when data subjects exercise their rights or when legal or privacy obligations change.</w:t>
            </w:r>
          </w:p>
          <w:p w14:paraId="01132D3B" w14:textId="77777777" w:rsidR="00963E47" w:rsidRPr="00963E47" w:rsidRDefault="00963E47" w:rsidP="004C3837">
            <w:pPr>
              <w:keepNext/>
              <w:rPr>
                <w:rFonts w:ascii="Aptos" w:hAnsi="Aptos" w:cs="Times New Roman"/>
                <w:b/>
                <w:bCs/>
                <w:color w:val="000000"/>
                <w:sz w:val="20"/>
                <w:szCs w:val="20"/>
              </w:rPr>
            </w:pPr>
          </w:p>
          <w:p w14:paraId="57BAE375" w14:textId="77777777" w:rsidR="00963E47" w:rsidRPr="00963E47" w:rsidRDefault="00963E47" w:rsidP="004C3837">
            <w:pPr>
              <w:keepNext/>
              <w:rPr>
                <w:rFonts w:ascii="Aptos" w:hAnsi="Aptos" w:cs="Times New Roman"/>
                <w:b/>
                <w:bCs/>
                <w:color w:val="000000"/>
                <w:sz w:val="20"/>
                <w:szCs w:val="20"/>
              </w:rPr>
            </w:pPr>
            <w:hyperlink r:id="rId17" w:anchor="govern-1-1" w:history="1">
              <w:r w:rsidRPr="00963E47">
                <w:rPr>
                  <w:rFonts w:ascii="Aptos" w:hAnsi="Aptos" w:cs="Times New Roman"/>
                  <w:color w:val="000000"/>
                  <w:sz w:val="20"/>
                  <w:szCs w:val="20"/>
                  <w:u w:val="single"/>
                </w:rPr>
                <w:t>Link to NIST AI RMF Playbook</w:t>
              </w:r>
            </w:hyperlink>
          </w:p>
        </w:tc>
      </w:tr>
    </w:tbl>
    <w:p w14:paraId="340513F0"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41DAA226"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7B8B5BFA"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296190B2" w14:textId="77777777" w:rsidTr="005C00A5">
        <w:trPr>
          <w:tblHeader/>
        </w:trPr>
        <w:tc>
          <w:tcPr>
            <w:tcW w:w="2160" w:type="dxa"/>
            <w:shd w:val="clear" w:color="auto" w:fill="CCDCDC"/>
            <w:vAlign w:val="center"/>
          </w:tcPr>
          <w:p w14:paraId="2C546D4C"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3DF1D09B"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00DC958A"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63535B9B" w14:textId="77777777" w:rsidTr="005C00A5">
        <w:tc>
          <w:tcPr>
            <w:tcW w:w="2160" w:type="dxa"/>
            <w:shd w:val="clear" w:color="auto" w:fill="CCDCDC"/>
          </w:tcPr>
          <w:p w14:paraId="1EF8D409"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4AEB144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776CAEB"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understand that incorporating data retention and privacy policies into AI lifecycle processes is fundamental for compliance and risk mitigation. At this stage, organizations focus on establishing basic controls to manage data in accordance with existing legal and privacy requirements, ensuring that data used in AI systems is handled responsibly and documented properly.</w:t>
            </w:r>
          </w:p>
        </w:tc>
      </w:tr>
      <w:tr w:rsidR="00963E47" w:rsidRPr="00963E47" w14:paraId="34A7168D" w14:textId="77777777" w:rsidTr="005C00A5">
        <w:tc>
          <w:tcPr>
            <w:tcW w:w="2160" w:type="dxa"/>
            <w:shd w:val="clear" w:color="auto" w:fill="CCDCDC"/>
          </w:tcPr>
          <w:p w14:paraId="0FEE3908"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410E94B7"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76BFBC8"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implement basic data management policies for AI data, ensuring compliance with privacy requirements in limited contexts.</w:t>
            </w:r>
          </w:p>
        </w:tc>
      </w:tr>
      <w:tr w:rsidR="00963E47" w:rsidRPr="00963E47" w14:paraId="6C330711" w14:textId="77777777" w:rsidTr="005C00A5">
        <w:tc>
          <w:tcPr>
            <w:tcW w:w="2160" w:type="dxa"/>
            <w:shd w:val="clear" w:color="auto" w:fill="CCDCDC"/>
          </w:tcPr>
          <w:p w14:paraId="0918F279"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1D1AB7D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50C840F"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develop more comprehensive data lifecycle management processes as AI systems handle more sensitive and extensive data, including records of data retention and deletion.</w:t>
            </w:r>
          </w:p>
        </w:tc>
      </w:tr>
      <w:tr w:rsidR="00963E47" w:rsidRPr="00963E47" w14:paraId="06BE6440" w14:textId="77777777" w:rsidTr="005C00A5">
        <w:tc>
          <w:tcPr>
            <w:tcW w:w="2160" w:type="dxa"/>
            <w:shd w:val="clear" w:color="auto" w:fill="CCDCDC"/>
          </w:tcPr>
          <w:p w14:paraId="7CA30C49"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161B4921"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FD12D2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require automated and integrated data management, continuous compliance verification, and adaptive policies to swiftly respond to legal and privacy changes, ensuring ongoing adherence across the entire data lifecycle.</w:t>
            </w:r>
          </w:p>
        </w:tc>
      </w:tr>
    </w:tbl>
    <w:p w14:paraId="5118A35F"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7C7EE393" w14:textId="77777777" w:rsidTr="005C00A5">
        <w:tc>
          <w:tcPr>
            <w:tcW w:w="2250" w:type="dxa"/>
          </w:tcPr>
          <w:p w14:paraId="39404F3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732C2422"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7F7311CD"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4E7197D9" w14:textId="77777777" w:rsidTr="005C00A5">
        <w:tc>
          <w:tcPr>
            <w:tcW w:w="2250" w:type="dxa"/>
          </w:tcPr>
          <w:p w14:paraId="2AED733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Privacy-Enhanced</w:t>
            </w:r>
          </w:p>
        </w:tc>
        <w:tc>
          <w:tcPr>
            <w:tcW w:w="2520" w:type="dxa"/>
          </w:tcPr>
          <w:p w14:paraId="7269E5B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Data Lifecycle Control Gaps</w:t>
            </w:r>
          </w:p>
        </w:tc>
        <w:tc>
          <w:tcPr>
            <w:tcW w:w="5300" w:type="dxa"/>
          </w:tcPr>
          <w:p w14:paraId="639E641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Data lifecycle controls fail to meet retention, privacy, or legal obligations</w:t>
            </w:r>
          </w:p>
        </w:tc>
      </w:tr>
    </w:tbl>
    <w:p w14:paraId="76DB381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303EFD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5916214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108079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Establish clear procedures for integrating comprehensive data management, privacy requirements, and data retention policies into all stages of the AI system lifecycle, from data collection to deployment and decommissioning. This includes documenting data provenance, tracking data lineage and transformations, implementing information sharing restrictions, and managing data deletion or archiving in accordance with legal, regulatory, and privacy obligations. Develop processes to ensure ongoing compliance with privacy principles and facilitate activities such as </w:t>
      </w:r>
      <w:r w:rsidRPr="00963E47">
        <w:rPr>
          <w:rFonts w:ascii="Aptos" w:eastAsia="Aptos" w:hAnsi="Aptos" w:cs="Times New Roman"/>
          <w:noProof/>
          <w:color w:val="auto"/>
          <w:kern w:val="2"/>
          <w:sz w:val="20"/>
          <w:szCs w:val="20"/>
          <w14:ligatures w14:val="standardContextual"/>
        </w:rPr>
        <w:lastRenderedPageBreak/>
        <w:t xml:space="preserve">honoring data subjects’ rights, including the right to delete data, while maintaining transparency and control over data uses. </w:t>
      </w:r>
    </w:p>
    <w:p w14:paraId="6C175742"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567B7C6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Implement automated or manual processes to monitor adherence to data management and retention policies, with safeguards to prevent unauthorized data handling or deletion. Develop policies to enable timely data archiving or deletion when data subjects exercise their rights or when legal or privacy obligations change, ensuring continued compliance and risk mitigation.</w:t>
      </w:r>
    </w:p>
    <w:p w14:paraId="5A607E51"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42DACFC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Maintain comprehensive records of data processing activities (e.g., including data provenance, lineage, transformations, retention periods, deletion or archiving dates, data sharing decisions) aligned with privacy frameworks. Conduct regular audits to verify that training datasets and other data used in AI systems comply with data management and privacy requirements, and that data handling practices adhere to established procedures. When changes in legal or regulatory requirements occur, promptly review and update policies and practices, providing training to relevant personnel to sustain compliance and privacy protection.</w:t>
      </w:r>
    </w:p>
    <w:p w14:paraId="5F61E3C7"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496C250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54D47DC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76EA93D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Data Retention and Classification Policy for AI Data</w:t>
      </w:r>
    </w:p>
    <w:p w14:paraId="2036505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and publish a data retention and classification policy specifically covering datasets used in AI development, training, and inference, defining retention periods, archival criteria, legal bases, and disposal procedures mapped to data sensitivity and regulatory requirements.</w:t>
      </w:r>
    </w:p>
    <w:p w14:paraId="5EB4B3C1"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560DC0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Published data retention and classification policy with AI-specific sections and approval signatures.</w:t>
      </w:r>
    </w:p>
    <w:p w14:paraId="7FE5445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Data classification inventory showing datasets, sensitivity labels, retention periods, and legal basis.</w:t>
      </w:r>
    </w:p>
    <w:p w14:paraId="197AC07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 history linking policy updates to regulatory or business-driver changes.</w:t>
      </w:r>
    </w:p>
    <w:p w14:paraId="1536D54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Communications/training artifacts announcing the policy to data stewards and AI teams.</w:t>
      </w:r>
    </w:p>
    <w:p w14:paraId="73A0A6CF"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52C3EDE"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Data Lifecycle Controls Integrated into the AI SDLC</w:t>
      </w:r>
    </w:p>
    <w:p w14:paraId="3D74CB9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Integrate retention, anonymization/pseudonymization, and deletion checkpoints into the AI system development lifecycle (requirements, data collection, preprocessing, training, deployment, monitoring, decommissioning) with mandatory attestations before progression.</w:t>
      </w:r>
    </w:p>
    <w:p w14:paraId="44B39DA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9B3C6D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SDLC stage-gate checklists showing completed data lifecycle controls and attestation records.</w:t>
      </w:r>
    </w:p>
    <w:p w14:paraId="40DF0DC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Workflow/ticketing logs requiring and recording anonymization or retention actions prior to model training or deployment.</w:t>
      </w:r>
    </w:p>
    <w:p w14:paraId="48205A9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Data processing maps or dataflow diagrams annotated with lifecycle control points.</w:t>
      </w:r>
    </w:p>
    <w:p w14:paraId="1C3F4D4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Sign-offs from data protection/privacy owners at relevant SDLC stages.</w:t>
      </w:r>
    </w:p>
    <w:p w14:paraId="4383BBFC"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FCF98AD"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Automated Retention Enforcement and Deletion/Archival Mechanisms</w:t>
      </w:r>
    </w:p>
    <w:p w14:paraId="4A20EE6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 technical controls and tooling that enforce retention schedules (automatic archival or deletion), track deletion requests, and produce tamper-evident logs demonstrating actions taken on training and production datasets.</w:t>
      </w:r>
    </w:p>
    <w:p w14:paraId="6C67B3AC"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6164B2C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System logs or audit trails showing automated deletion/archival jobs with timestamps and dataset identifiers.</w:t>
      </w:r>
    </w:p>
    <w:p w14:paraId="6F2BB90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Tooling configuration screenshots (retention rules, schedules) and change history.</w:t>
      </w:r>
    </w:p>
    <w:p w14:paraId="7B667D4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Reports of completed deletion/archival actions in response to retention expiry or data subject requests.</w:t>
      </w:r>
    </w:p>
    <w:p w14:paraId="25E2476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Hashes/checksums or snapshots proving dataset state before and after deletion/archival (where permitted).</w:t>
      </w:r>
    </w:p>
    <w:p w14:paraId="74D9C5BB" w14:textId="77777777" w:rsidR="00963E47" w:rsidRPr="00963E47" w:rsidRDefault="00963E47" w:rsidP="004C3837">
      <w:pPr>
        <w:rPr>
          <w:rFonts w:ascii="Aptos" w:eastAsia="Aptos" w:hAnsi="Aptos" w:cs="Times New Roman"/>
          <w:color w:val="auto"/>
          <w:kern w:val="2"/>
          <w:sz w:val="20"/>
          <w:szCs w:val="20"/>
          <w14:ligatures w14:val="standardContextual"/>
        </w:rPr>
      </w:pPr>
    </w:p>
    <w:p w14:paraId="6183812E"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Data Subject Rights and Workflow for AI Datasets</w:t>
      </w:r>
    </w:p>
    <w:p w14:paraId="0CFFB16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documented processes and tooling to handle data subject requests (access, correction, deletion, portability) that ensure requests affecting AI training or inference data are identified, propagated to owners, and remedied across datasets/models (including retraining or model explainability adjustments where necessary).</w:t>
      </w:r>
    </w:p>
    <w:p w14:paraId="48469C2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7E08FA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Logged data subject requests showing intake, impact analysis on AI datasets/models, and closure evidence.</w:t>
      </w:r>
    </w:p>
    <w:p w14:paraId="5CF3E88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Workflow tickets and communications documenting coordination between privacy, data engineering, and ML teams for fulfillment.</w:t>
      </w:r>
    </w:p>
    <w:p w14:paraId="142DAF9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model retraining, feature removal, or inference adjustments performed as a result of requests.</w:t>
      </w:r>
    </w:p>
    <w:p w14:paraId="37B4D33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Standard operating procedures (SOPs) and SLA metrics for handling requests affecting AI data.</w:t>
      </w:r>
    </w:p>
    <w:p w14:paraId="2F17F61E"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549B085"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Periodic Verification, Auditing, and Reconciliation of AI Training Data Compliance</w:t>
      </w:r>
    </w:p>
    <w:p w14:paraId="3705AD1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Conduct regular audits and reconciliations to verify training and production datasets comply with retention and privacy policies (sampling, lineage checks, consent verification), and update records when legal obligations change; feed findings into remediation plans.</w:t>
      </w:r>
    </w:p>
    <w:p w14:paraId="6FCD3B57"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F6A747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Audit reports showing dataset samples, lineage verification, consent/ legal-basis checks, and findings.</w:t>
      </w:r>
    </w:p>
    <w:p w14:paraId="2202B67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Reconciliation logs linking datasets in storage to the retention inventory and noting discrepancies and remediation actions.</w:t>
      </w:r>
    </w:p>
    <w:p w14:paraId="5D1E1C9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Remediation tickets and closure evidence for non-compliant datasets (e.g., deleted/archived or reclassified).</w:t>
      </w:r>
    </w:p>
    <w:p w14:paraId="673C8DC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Governance reports showing tracking of policy-change-driven updates (e.g., changes in retention periods) and confirmation of applied changes across datasets and models.</w:t>
      </w:r>
    </w:p>
    <w:p w14:paraId="3B627232" w14:textId="77777777" w:rsidR="000A6B98" w:rsidRDefault="000A6B98"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1917BD7F" w14:textId="62964F06"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0" w:name="_Toc221016939"/>
      <w:r w:rsidRPr="00963E47">
        <w:rPr>
          <w:rFonts w:ascii="Aptos" w:eastAsia="Aptos" w:hAnsi="Aptos" w:cs="Times New Roman"/>
          <w:b/>
          <w:bCs/>
          <w:noProof/>
          <w:color w:val="35256B"/>
          <w:kern w:val="2"/>
          <w:sz w:val="24"/>
          <w14:ligatures w14:val="standardContextual"/>
        </w:rPr>
        <w:t>GOVERN / Establishing Key Policies &amp; Processes / Defining Trustworthy AI Policies</w:t>
      </w:r>
      <w:bookmarkEnd w:id="10"/>
      <w:r w:rsidRPr="00963E47">
        <w:rPr>
          <w:rFonts w:ascii="Aptos" w:eastAsia="Aptos" w:hAnsi="Aptos" w:cs="Times New Roman"/>
          <w:b/>
          <w:bCs/>
          <w:noProof/>
          <w:color w:val="35256B"/>
          <w:kern w:val="2"/>
          <w:sz w:val="24"/>
          <w14:ligatures w14:val="standardContextual"/>
        </w:rPr>
        <w:t xml:space="preserve"> </w:t>
      </w:r>
    </w:p>
    <w:p w14:paraId="3ECD7F70"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6C9EBE6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20FB8A0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338932D2" w14:textId="77777777" w:rsidTr="005C00A5">
        <w:tc>
          <w:tcPr>
            <w:tcW w:w="1170" w:type="dxa"/>
          </w:tcPr>
          <w:p w14:paraId="6CEA035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688EABD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446360E6"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745E2E0A" w14:textId="77777777" w:rsidTr="005C00A5">
        <w:tc>
          <w:tcPr>
            <w:tcW w:w="1170" w:type="dxa"/>
          </w:tcPr>
          <w:p w14:paraId="316F5EE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GV-1.2.1</w:t>
            </w:r>
          </w:p>
        </w:tc>
        <w:tc>
          <w:tcPr>
            <w:tcW w:w="2160" w:type="dxa"/>
          </w:tcPr>
          <w:p w14:paraId="1898C21A"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Principles and Policy Integration</w:t>
            </w:r>
          </w:p>
        </w:tc>
        <w:tc>
          <w:tcPr>
            <w:tcW w:w="6740" w:type="dxa"/>
          </w:tcPr>
          <w:p w14:paraId="375B0E6D"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defines and documents its own AI Trustworthy Principles, which are then integrated into relevant policies, processes, and practices across key functions (e.g., HR, IT, legal, compliance).</w:t>
            </w:r>
          </w:p>
          <w:p w14:paraId="3B45412B" w14:textId="77777777" w:rsidR="00963E47" w:rsidRPr="00963E47" w:rsidRDefault="00963E47" w:rsidP="004C3837">
            <w:pPr>
              <w:keepNext/>
              <w:rPr>
                <w:rFonts w:ascii="Aptos" w:hAnsi="Aptos" w:cs="Times New Roman"/>
                <w:b/>
                <w:bCs/>
                <w:color w:val="000000"/>
                <w:sz w:val="20"/>
                <w:szCs w:val="20"/>
              </w:rPr>
            </w:pPr>
          </w:p>
          <w:p w14:paraId="6AE1D2BB" w14:textId="77777777" w:rsidR="00963E47" w:rsidRPr="00963E47" w:rsidRDefault="00963E47" w:rsidP="004C3837">
            <w:pPr>
              <w:keepNext/>
              <w:rPr>
                <w:rFonts w:ascii="Aptos" w:hAnsi="Aptos" w:cs="Times New Roman"/>
                <w:b/>
                <w:bCs/>
                <w:color w:val="000000"/>
                <w:sz w:val="20"/>
                <w:szCs w:val="20"/>
              </w:rPr>
            </w:pPr>
            <w:hyperlink r:id="rId18" w:anchor="govern-1-2" w:history="1">
              <w:r w:rsidRPr="00963E47">
                <w:rPr>
                  <w:rFonts w:ascii="Aptos" w:hAnsi="Aptos" w:cs="Times New Roman"/>
                  <w:color w:val="000000"/>
                  <w:sz w:val="20"/>
                  <w:szCs w:val="20"/>
                  <w:u w:val="single"/>
                </w:rPr>
                <w:t>Link to NIST AI RMF Playbook</w:t>
              </w:r>
            </w:hyperlink>
          </w:p>
        </w:tc>
      </w:tr>
    </w:tbl>
    <w:p w14:paraId="5C193B3B"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4F021B2D"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1ED977E6"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0C71782D" w14:textId="77777777" w:rsidTr="005C00A5">
        <w:trPr>
          <w:tblHeader/>
        </w:trPr>
        <w:tc>
          <w:tcPr>
            <w:tcW w:w="2160" w:type="dxa"/>
            <w:shd w:val="clear" w:color="auto" w:fill="CCDCDC"/>
            <w:vAlign w:val="center"/>
          </w:tcPr>
          <w:p w14:paraId="17D97146"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0BDB3F2F"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75139CC0"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330FB6AD" w14:textId="77777777" w:rsidTr="005C00A5">
        <w:tc>
          <w:tcPr>
            <w:tcW w:w="2160" w:type="dxa"/>
            <w:shd w:val="clear" w:color="auto" w:fill="CCDCDC"/>
          </w:tcPr>
          <w:p w14:paraId="781C04BA"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65EE3E1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7FD1EA1F"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initial stage start defining high-level AI principles to provide an essential foundation for responsible AI deployment. Early-stage organizations typically formalize these principles to guide future risk management efforts, laying groundwork for consistent and responsible AI practices across various functions.</w:t>
            </w:r>
          </w:p>
        </w:tc>
      </w:tr>
      <w:tr w:rsidR="00963E47" w:rsidRPr="00963E47" w14:paraId="37060FE7" w14:textId="77777777" w:rsidTr="005C00A5">
        <w:tc>
          <w:tcPr>
            <w:tcW w:w="2160" w:type="dxa"/>
            <w:shd w:val="clear" w:color="auto" w:fill="CCDCDC"/>
          </w:tcPr>
          <w:p w14:paraId="7CDFD7CC"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32669BDB"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575E605"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have started to fully define and document their own AI Trustworthy Principles. However, these principles may not be fully developed or consistently integrated into relevant policies, processes, and practices across key functions.</w:t>
            </w:r>
          </w:p>
        </w:tc>
      </w:tr>
      <w:tr w:rsidR="00963E47" w:rsidRPr="00963E47" w14:paraId="5A2496E2" w14:textId="77777777" w:rsidTr="005C00A5">
        <w:tc>
          <w:tcPr>
            <w:tcW w:w="2160" w:type="dxa"/>
            <w:shd w:val="clear" w:color="auto" w:fill="CCDCDC"/>
          </w:tcPr>
          <w:p w14:paraId="7E9CF2B2"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66179870"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23FF19B"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 xml:space="preserve">At the evolving stage, organizations have defined and documented comprehensive AI Trustworthy Principles. These principles are integrated into relevant policies, processes, and practices across key </w:t>
            </w:r>
            <w:r w:rsidRPr="00963E47">
              <w:rPr>
                <w:rFonts w:ascii="Aptos" w:hAnsi="Aptos" w:cs="Times New Roman"/>
                <w:noProof/>
                <w:color w:val="auto"/>
                <w:sz w:val="20"/>
                <w:szCs w:val="20"/>
              </w:rPr>
              <w:lastRenderedPageBreak/>
              <w:t>functions, although their implementation may not yet be fully consistent or mature.</w:t>
            </w:r>
          </w:p>
        </w:tc>
      </w:tr>
      <w:tr w:rsidR="00963E47" w:rsidRPr="00963E47" w14:paraId="30BEE72C" w14:textId="77777777" w:rsidTr="005C00A5">
        <w:tc>
          <w:tcPr>
            <w:tcW w:w="2160" w:type="dxa"/>
            <w:shd w:val="clear" w:color="auto" w:fill="CCDCDC"/>
          </w:tcPr>
          <w:p w14:paraId="48BD3232"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1D3B76B1"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0D452591"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define and document AI Trustworthy Principles and integrate them into relevant policies, processes, and practices. and it is fully ingrained in the organization's culture and operations. These principles are consistently applied, regularly reviewed and updated based on feedback and best practices, and are deeply embedded into all aspects of the organization's AI-related activities.</w:t>
            </w:r>
          </w:p>
        </w:tc>
      </w:tr>
    </w:tbl>
    <w:p w14:paraId="26B73F01"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0031271A" w14:textId="77777777" w:rsidTr="005C00A5">
        <w:tc>
          <w:tcPr>
            <w:tcW w:w="2250" w:type="dxa"/>
          </w:tcPr>
          <w:p w14:paraId="5EF8CFCB"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0A489510"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1D8B3306"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71C6B0B3" w14:textId="77777777" w:rsidTr="005C00A5">
        <w:tc>
          <w:tcPr>
            <w:tcW w:w="2250" w:type="dxa"/>
          </w:tcPr>
          <w:p w14:paraId="78B5D394"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7282CB6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Undefined AI Trustworthy Principles</w:t>
            </w:r>
          </w:p>
        </w:tc>
        <w:tc>
          <w:tcPr>
            <w:tcW w:w="5300" w:type="dxa"/>
          </w:tcPr>
          <w:p w14:paraId="1EC11EC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Trustworthy Principles are not defined or integrated organization-wide</w:t>
            </w:r>
          </w:p>
        </w:tc>
      </w:tr>
    </w:tbl>
    <w:p w14:paraId="6E75BF4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637271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7CE438C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A643CA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Define and document your organization's AI Trustworthy Principles, aligning them with industry best practices and your specific context and values. Communicate these principles to relevant stakeholders and integrate them into key functions such as business lines, HR, IT, legal, and compliance.</w:t>
      </w:r>
    </w:p>
    <w:p w14:paraId="5277E2C1"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5C42EB4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Update existing policies, create new ones as necessary, and provide training to ensure the principles are understood and consistently applied throughout the organization.</w:t>
      </w:r>
    </w:p>
    <w:p w14:paraId="0E4871CA"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0C41FCF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5A9189F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1C67599F"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AI Trustworthy Principles Statement and Governance Approval</w:t>
      </w:r>
    </w:p>
    <w:p w14:paraId="43E5F0C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Create a formal, published statement of the organization’s AI Trustworthy Principles (e.g., fairness, transparency, accountability, privacy, safety) and obtain governance-level approval (executive/board) to ensure organizational endorsement and visibility.</w:t>
      </w:r>
    </w:p>
    <w:p w14:paraId="67527E6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62C7D7C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Published AI Trustworthy Principles document with date and version.</w:t>
      </w:r>
    </w:p>
    <w:p w14:paraId="27AF085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Board or executive meeting minutes recording approval or endorsement.</w:t>
      </w:r>
    </w:p>
    <w:p w14:paraId="00E02A9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Internal communications (intranet announcement, emails) announcing the principles.</w:t>
      </w:r>
    </w:p>
    <w:p w14:paraId="32CF41D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Executive sponsor or C-suite sign-off on the principles.</w:t>
      </w:r>
    </w:p>
    <w:p w14:paraId="541DC486"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50931D8"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Integration of Principles into Policies and Standards</w:t>
      </w:r>
    </w:p>
    <w:p w14:paraId="1CC9EF82"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Map the AI Trustworthy Principles to existing and new organizational policies, standards, and standard operating procedures (SOPs) (privacy, data governance, procurement, vendor management, HR) so the principles are operationalized and enforced through formal documents.</w:t>
      </w:r>
    </w:p>
    <w:p w14:paraId="09F5FF0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D44ACB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documents (privacy, data retention, procurement) with sections referencing or embedding AI principles.</w:t>
      </w:r>
    </w:p>
    <w:p w14:paraId="0EA2E32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Standards or SOPs showing specific controls derived from the principles (e.g., fairness testing in ML testing standards).</w:t>
      </w:r>
    </w:p>
    <w:p w14:paraId="19F09CD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mapping matrix linking each principle to affected policies/processes and owners.</w:t>
      </w:r>
    </w:p>
    <w:p w14:paraId="3EBCD55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Version-controlled policy change records showing when principles were integrated.</w:t>
      </w:r>
    </w:p>
    <w:p w14:paraId="6D525003" w14:textId="77777777" w:rsidR="00963E47" w:rsidRPr="00963E47" w:rsidRDefault="00963E47" w:rsidP="004C3837">
      <w:pPr>
        <w:rPr>
          <w:rFonts w:ascii="Aptos" w:eastAsia="Aptos" w:hAnsi="Aptos" w:cs="Times New Roman"/>
          <w:color w:val="auto"/>
          <w:kern w:val="2"/>
          <w:sz w:val="20"/>
          <w:szCs w:val="20"/>
          <w14:ligatures w14:val="standardContextual"/>
        </w:rPr>
      </w:pPr>
    </w:p>
    <w:p w14:paraId="09D46D44"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Role-Based Procedures and Responsibilities for Principle Implementation</w:t>
      </w:r>
    </w:p>
    <w:p w14:paraId="35708C0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Define role-specific procedures and responsibilities (e.g., hiring, performance reviews, model development, legal review, procurement) that translate high-level principles into concrete actions and assign accountable owners.</w:t>
      </w:r>
    </w:p>
    <w:p w14:paraId="39B845C7"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Examples of Effective Evidence:</w:t>
      </w:r>
      <w:r w:rsidRPr="00963E47">
        <w:rPr>
          <w:rFonts w:ascii="Aptos" w:eastAsia="Aptos" w:hAnsi="Aptos" w:cs="Times New Roman"/>
          <w:color w:val="auto"/>
          <w:kern w:val="2"/>
          <w:sz w:val="20"/>
          <w:szCs w:val="20"/>
          <w14:ligatures w14:val="standardContextual"/>
        </w:rPr>
        <w:t xml:space="preserve"> </w:t>
      </w:r>
    </w:p>
    <w:p w14:paraId="6D59B25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RACI or responsibility matrices detailing owner tasks tied to each principle.</w:t>
      </w:r>
    </w:p>
    <w:p w14:paraId="251BA5A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Job descriptions, SOPs, or checklists for roles (ML engineers, product owners, legal) showing principle-related duties.</w:t>
      </w:r>
    </w:p>
    <w:p w14:paraId="30AE967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Signed attestations or acknowledgements from role owners accepting responsibilities.</w:t>
      </w:r>
    </w:p>
    <w:p w14:paraId="34CF1FC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Operational runbooks or playbooks demonstrating how roles apply principles in routine tasks.</w:t>
      </w:r>
    </w:p>
    <w:p w14:paraId="0904141B"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C84035B"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Principle-Based Requirements in Procurement and Third-Party Management</w:t>
      </w:r>
    </w:p>
    <w:p w14:paraId="6F81B90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Embed AI Trustworthy Principles criteria into procurement, vendor selection, and contract clauses (e.g., requirements for model interpretability, data provenance, compliance with principles) and require evidence from suppliers.</w:t>
      </w:r>
    </w:p>
    <w:p w14:paraId="5EA57027"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BCC842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Procurement templates and Requests for Information/Proposal (RFI/RFP) including AI Trustworthy Principles and mandatory supplier attestations.</w:t>
      </w:r>
    </w:p>
    <w:p w14:paraId="3FF77D6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Contracts or contract clauses referencing compliance with the organization’s AI Trustworthy Principles.</w:t>
      </w:r>
    </w:p>
    <w:p w14:paraId="1493989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Supplier assessments or evidence packages demonstrating adherence (model cards, certifications, SOC reports).</w:t>
      </w:r>
    </w:p>
    <w:p w14:paraId="7D51921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Vendor approval records showing principle-based evaluation outcomes.</w:t>
      </w:r>
    </w:p>
    <w:p w14:paraId="3D5EC098"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70F5644"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Training, Awareness, and Compliance Monitoring Program</w:t>
      </w:r>
    </w:p>
    <w:p w14:paraId="226D60B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Deliver role-specific training on the AI Trustworthy Principles, embed principle checks into SDLC/gates, and run monitoring/audit programs to measure adoption and effectiveness, with mechanisms to remediate gaps.</w:t>
      </w:r>
    </w:p>
    <w:p w14:paraId="5925448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5C37B7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materials, attendance records, and completion certificates for staff and relevant stakeholders.</w:t>
      </w:r>
    </w:p>
    <w:p w14:paraId="3763439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SDLC stage-gate checklists or automated controls that include principle compliance attestations.</w:t>
      </w:r>
    </w:p>
    <w:p w14:paraId="7624D1C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Monitoring or audit reports assessing principle adoption, with remediation plans and closure evidence.</w:t>
      </w:r>
    </w:p>
    <w:p w14:paraId="7D904B3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Metrics dashboards showing KPIs (training completion rates, number of principle-related findings, remediation times)</w:t>
      </w:r>
    </w:p>
    <w:p w14:paraId="23A20599"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19BD943A"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18EC402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3A65CBC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0EC38204" w14:textId="77777777" w:rsidTr="005C00A5">
        <w:tc>
          <w:tcPr>
            <w:tcW w:w="1170" w:type="dxa"/>
          </w:tcPr>
          <w:p w14:paraId="6E480A5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5CC2163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1CDABE4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671FCF72" w14:textId="77777777" w:rsidTr="005C00A5">
        <w:tc>
          <w:tcPr>
            <w:tcW w:w="1170" w:type="dxa"/>
          </w:tcPr>
          <w:p w14:paraId="7D5F987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GV-1.2.2</w:t>
            </w:r>
          </w:p>
        </w:tc>
        <w:tc>
          <w:tcPr>
            <w:tcW w:w="2160" w:type="dxa"/>
          </w:tcPr>
          <w:p w14:paraId="5768CBD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Terminology and Scope Glossary</w:t>
            </w:r>
          </w:p>
        </w:tc>
        <w:tc>
          <w:tcPr>
            <w:tcW w:w="6740" w:type="dxa"/>
          </w:tcPr>
          <w:p w14:paraId="6A61FE27"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establishes, maintains, and periodically updates a glossary of AI-related terms and concepts and clearly defines the scope, purpose, and intended/acceptable uses of its AI systems. This information is referenced and reflected consistently across organizational policies, standards, other relevant documentation, and training programs.</w:t>
            </w:r>
          </w:p>
          <w:p w14:paraId="4C601DB2" w14:textId="77777777" w:rsidR="00963E47" w:rsidRPr="00963E47" w:rsidRDefault="00963E47" w:rsidP="004C3837">
            <w:pPr>
              <w:keepNext/>
              <w:rPr>
                <w:rFonts w:ascii="Aptos" w:hAnsi="Aptos" w:cs="Times New Roman"/>
                <w:b/>
                <w:bCs/>
                <w:color w:val="000000"/>
                <w:sz w:val="20"/>
                <w:szCs w:val="20"/>
              </w:rPr>
            </w:pPr>
          </w:p>
          <w:p w14:paraId="1E60155A" w14:textId="77777777" w:rsidR="00963E47" w:rsidRPr="00963E47" w:rsidRDefault="00963E47" w:rsidP="004C3837">
            <w:pPr>
              <w:keepNext/>
              <w:rPr>
                <w:rFonts w:ascii="Aptos" w:hAnsi="Aptos" w:cs="Times New Roman"/>
                <w:b/>
                <w:bCs/>
                <w:color w:val="000000"/>
                <w:sz w:val="20"/>
                <w:szCs w:val="20"/>
              </w:rPr>
            </w:pPr>
            <w:hyperlink r:id="rId19" w:anchor="govern-1-2" w:history="1">
              <w:r w:rsidRPr="00963E47">
                <w:rPr>
                  <w:rFonts w:ascii="Aptos" w:hAnsi="Aptos" w:cs="Times New Roman"/>
                  <w:color w:val="000000"/>
                  <w:sz w:val="20"/>
                  <w:szCs w:val="20"/>
                  <w:u w:val="single"/>
                </w:rPr>
                <w:t>Link to NIST AI RMF Playbook</w:t>
              </w:r>
            </w:hyperlink>
          </w:p>
        </w:tc>
      </w:tr>
    </w:tbl>
    <w:p w14:paraId="4A6639A1"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4EBDC0EF"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609F7CCB"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04B060CA" w14:textId="77777777" w:rsidTr="005C00A5">
        <w:trPr>
          <w:tblHeader/>
        </w:trPr>
        <w:tc>
          <w:tcPr>
            <w:tcW w:w="2160" w:type="dxa"/>
            <w:shd w:val="clear" w:color="auto" w:fill="CCDCDC"/>
            <w:vAlign w:val="center"/>
          </w:tcPr>
          <w:p w14:paraId="61836E22"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0A24E7E5"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44E0F1FD"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673A6448" w14:textId="77777777" w:rsidTr="005C00A5">
        <w:tc>
          <w:tcPr>
            <w:tcW w:w="2160" w:type="dxa"/>
            <w:shd w:val="clear" w:color="auto" w:fill="CCDCDC"/>
          </w:tcPr>
          <w:p w14:paraId="7D7DCBBE"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5DFE3839"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7CBFDAD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initial stage begin establishing a shared understanding of AI terminology and scope is crucial for effective communication and policy development.</w:t>
            </w:r>
          </w:p>
        </w:tc>
      </w:tr>
      <w:tr w:rsidR="00963E47" w:rsidRPr="00963E47" w14:paraId="24768939" w14:textId="77777777" w:rsidTr="005C00A5">
        <w:tc>
          <w:tcPr>
            <w:tcW w:w="2160" w:type="dxa"/>
            <w:shd w:val="clear" w:color="auto" w:fill="CCDCDC"/>
          </w:tcPr>
          <w:p w14:paraId="46260EC6"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3D119BF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79A45D9"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 xml:space="preserve">At the minimal stage, organizations have started to establish a glossary of AI-related terms and concepts and define the scope, purpose, and intended/acceptable uses of its AI systems. However, this information may not be fully developed, consistently referenced, </w:t>
            </w:r>
            <w:r w:rsidRPr="00963E47">
              <w:rPr>
                <w:rFonts w:ascii="Aptos" w:hAnsi="Aptos" w:cs="Times New Roman"/>
                <w:noProof/>
                <w:color w:val="auto"/>
                <w:sz w:val="20"/>
                <w:szCs w:val="20"/>
              </w:rPr>
              <w:lastRenderedPageBreak/>
              <w:t>or reflected across organizational policies, standards, documentation, and training programs.</w:t>
            </w:r>
          </w:p>
        </w:tc>
      </w:tr>
      <w:tr w:rsidR="00963E47" w:rsidRPr="00963E47" w14:paraId="4BB84EC3" w14:textId="77777777" w:rsidTr="005C00A5">
        <w:tc>
          <w:tcPr>
            <w:tcW w:w="2160" w:type="dxa"/>
            <w:shd w:val="clear" w:color="auto" w:fill="CCDCDC"/>
          </w:tcPr>
          <w:p w14:paraId="727B1F0E"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786343A2"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13269F41"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have established a comprehensive glossary of AI-related terms and concepts and clearly defined the scope, purpose, and intended/acceptable uses of its AI systems. This information is referenced and reflected consistently across organizational policies, standards, documentation, and training programs, although its implementation may not yet be fully mature or integrated.</w:t>
            </w:r>
          </w:p>
        </w:tc>
      </w:tr>
      <w:tr w:rsidR="00963E47" w:rsidRPr="00963E47" w14:paraId="7CBA75C8" w14:textId="77777777" w:rsidTr="005C00A5">
        <w:tc>
          <w:tcPr>
            <w:tcW w:w="2160" w:type="dxa"/>
            <w:shd w:val="clear" w:color="auto" w:fill="CCDCDC"/>
          </w:tcPr>
          <w:p w14:paraId="78B279FC"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71FEAF01"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28CC04F"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establish and maintain a glossary of AI-related terms and concepts and define the scope, purpose, and intended/acceptable uses of AI systems, and it is fully integrated into the organization's knowledge management and governance processes. This information is consistently applied, regularly reviewed and updated, and deeply embedded into all aspects of the organization's AI-related policies, standards, documentation, and training programs.</w:t>
            </w:r>
          </w:p>
        </w:tc>
      </w:tr>
    </w:tbl>
    <w:p w14:paraId="184566C1"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145DC837" w14:textId="77777777" w:rsidTr="005C00A5">
        <w:tc>
          <w:tcPr>
            <w:tcW w:w="2250" w:type="dxa"/>
          </w:tcPr>
          <w:p w14:paraId="3983BF9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0E592C7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0E0C9932"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0D86E116" w14:textId="77777777" w:rsidTr="005C00A5">
        <w:tc>
          <w:tcPr>
            <w:tcW w:w="2250" w:type="dxa"/>
          </w:tcPr>
          <w:p w14:paraId="6CD6B08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033F475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Inconsistent Use of AI Terms</w:t>
            </w:r>
          </w:p>
        </w:tc>
        <w:tc>
          <w:tcPr>
            <w:tcW w:w="5300" w:type="dxa"/>
          </w:tcPr>
          <w:p w14:paraId="2DA0D13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terms are used inconsistently across the organization, its policies, and its documentation</w:t>
            </w:r>
          </w:p>
        </w:tc>
      </w:tr>
    </w:tbl>
    <w:p w14:paraId="0A75B2A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60538A35"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7FE9EF6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C929F6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Develop and maintain a glossary of AI-related terms and concepts to promote a common understanding across the organization. Include clear definitions of key terms and descriptions of the scope, purpose, and intended uses of the AI systems.</w:t>
      </w:r>
    </w:p>
    <w:p w14:paraId="2FF93F68"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0802333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Regularly review and update the glossary to reflect changes in AI practices and the broader AI landscape. Ensure that definitions and concepts from the glossary are consistently referenced in organizational policies, standards, documentation, and training programs.</w:t>
      </w:r>
    </w:p>
    <w:p w14:paraId="5774059F"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19087E8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75EACBB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B973BE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Centralized AI Glossary and Taxonomy</w:t>
      </w:r>
    </w:p>
    <w:p w14:paraId="03E1B46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a centrally managed, version-controlled glossary and taxonomy of AI terms (e.g., model, training data, inference, bias, explainability) with definitions, usage guidance, and links to related policies and artifacts; review and update at regular intervals.</w:t>
      </w:r>
    </w:p>
    <w:p w14:paraId="04D2C90F"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577FEA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Published glossary document or intranet page with version history and approval stamps.</w:t>
      </w:r>
    </w:p>
    <w:p w14:paraId="0771C52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 log showing updates tied to reviews or regulatory/standards changes.</w:t>
      </w:r>
    </w:p>
    <w:p w14:paraId="32A4691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Access/audit logs demonstrating who edited or approved glossary entries.</w:t>
      </w:r>
    </w:p>
    <w:p w14:paraId="68616D7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Cross-reference matrix showing links from glossary terms to policies, playbooks, and system dossiers.</w:t>
      </w:r>
    </w:p>
    <w:p w14:paraId="7CB1C964"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B880CFE"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AI System Use-Case and Scope Register</w:t>
      </w:r>
    </w:p>
    <w:p w14:paraId="3D675C4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a register that documents each AI system’s scope, purpose, intended/acceptable uses, boundaries, and prohibited uses, and require owners to update the register whenever capabilities or use cases change.</w:t>
      </w:r>
    </w:p>
    <w:p w14:paraId="414C71E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CBB724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System register or catalog entries for sampled AI systems specifying scope, purpose, allowed and disallowed uses.</w:t>
      </w:r>
    </w:p>
    <w:p w14:paraId="2E1BFE3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lastRenderedPageBreak/>
        <w:t>• Owner attestations or approvals confirming accuracy of system scope and use-case entries.</w:t>
      </w:r>
    </w:p>
    <w:p w14:paraId="02F33C9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 logs showing updates to scope/use entries after system changes or governance reviews.</w:t>
      </w:r>
    </w:p>
    <w:p w14:paraId="4868862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Communications to stakeholders when system uses are added/modified (emails, release notes).</w:t>
      </w:r>
    </w:p>
    <w:p w14:paraId="6CEF9ECC" w14:textId="77777777" w:rsidR="00963E47" w:rsidRPr="00963E47" w:rsidRDefault="00963E47" w:rsidP="004C3837">
      <w:pPr>
        <w:rPr>
          <w:rFonts w:ascii="Aptos" w:eastAsia="Aptos" w:hAnsi="Aptos" w:cs="Times New Roman"/>
          <w:color w:val="auto"/>
          <w:kern w:val="2"/>
          <w:sz w:val="20"/>
          <w:szCs w:val="20"/>
          <w14:ligatures w14:val="standardContextual"/>
        </w:rPr>
      </w:pPr>
    </w:p>
    <w:p w14:paraId="3FABE90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Policy and Documentation Cross-Referencing Requirement</w:t>
      </w:r>
    </w:p>
    <w:p w14:paraId="4117813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Require that all AI-related policies, standards, SOPs, procurement templates, and training materials reference glossary definitions and the system use register to ensure consistent terminology and aligned intent across documents.</w:t>
      </w:r>
    </w:p>
    <w:p w14:paraId="3DC411D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5EE15B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and SOP documents with explicit references or hyperlinks to glossary terms and system use entries.</w:t>
      </w:r>
    </w:p>
    <w:p w14:paraId="39C2E8F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mapping matrix demonstrating consistent term usage across documents.</w:t>
      </w:r>
    </w:p>
    <w:p w14:paraId="056F1D8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Documentation review records showing checks for consistency with the glossary during updates.</w:t>
      </w:r>
    </w:p>
    <w:p w14:paraId="12CC6B7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Approval records indicating reviewers confirmed alignment to glossary and scope register.</w:t>
      </w:r>
    </w:p>
    <w:p w14:paraId="47432FCF"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78DFCE6"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Integration into SDLC Gates and Approval Workflows</w:t>
      </w:r>
    </w:p>
    <w:p w14:paraId="1D2C088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Embed checks into SDLC stage-gates and change control workflows that validate system scope, purpose, and acceptable uses against the register and require glossary-based term usage in design/specifications before approval.</w:t>
      </w:r>
    </w:p>
    <w:p w14:paraId="3D50F2F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6585131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Stage-gate checklist items and approval forms requiring confirmation of scope/use alignment and correct term usage.</w:t>
      </w:r>
    </w:p>
    <w:p w14:paraId="3D39554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Ticketing/workflow logs showing gates blocked until scope and glossary checks are completed.</w:t>
      </w:r>
    </w:p>
    <w:p w14:paraId="5B8895E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Design/specification documents and product requirements document (PRD)s using standardized glossary terms with reviewer sign-offs.</w:t>
      </w:r>
    </w:p>
    <w:p w14:paraId="21EB78F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Audit samples demonstrating SDLC enforcement for multiple projects.</w:t>
      </w:r>
    </w:p>
    <w:p w14:paraId="618D52FB" w14:textId="77777777" w:rsidR="00963E47" w:rsidRPr="00963E47" w:rsidRDefault="00963E47" w:rsidP="004C3837">
      <w:pPr>
        <w:rPr>
          <w:rFonts w:ascii="Aptos" w:eastAsia="Aptos" w:hAnsi="Aptos" w:cs="Times New Roman"/>
          <w:color w:val="auto"/>
          <w:kern w:val="2"/>
          <w:sz w:val="20"/>
          <w:szCs w:val="20"/>
          <w14:ligatures w14:val="standardContextual"/>
        </w:rPr>
      </w:pPr>
    </w:p>
    <w:p w14:paraId="05B5558F"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Training, Communications, and Stakeholder Awareness Program</w:t>
      </w:r>
    </w:p>
    <w:p w14:paraId="189FF16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Provide role-specific training and communications that teach the glossary terms, expected interpretations, and the organization’s definitions of acceptable AI uses. Include assessments and periodic refreshers to ensure ongoing consistency.</w:t>
      </w:r>
    </w:p>
    <w:p w14:paraId="4AFD5EA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524084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materials, completion records, and assessment results referencing glossary terms and acceptable uses.</w:t>
      </w:r>
    </w:p>
    <w:p w14:paraId="025E51B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Awareness campaign artifacts (intranet posts, FAQs, quick-reference cards) linking to the glossary and system register.</w:t>
      </w:r>
    </w:p>
    <w:p w14:paraId="77712BF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Periodic refresher attendance logs and quiz/assessment outcomes demonstrating retained understanding.</w:t>
      </w:r>
    </w:p>
    <w:p w14:paraId="4BB1CC0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Survey or audit results showing reduced terminology inconsistencies and improved policy adherence after training.</w:t>
      </w:r>
    </w:p>
    <w:p w14:paraId="7EECF2CB"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4ED8C3C6"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1" w:name="_Toc221016940"/>
      <w:r w:rsidRPr="00963E47">
        <w:rPr>
          <w:rFonts w:ascii="Aptos" w:eastAsia="Aptos" w:hAnsi="Aptos" w:cs="Times New Roman"/>
          <w:b/>
          <w:bCs/>
          <w:noProof/>
          <w:color w:val="35256B"/>
          <w:kern w:val="2"/>
          <w:sz w:val="24"/>
          <w14:ligatures w14:val="standardContextual"/>
        </w:rPr>
        <w:t>GOVERN / Establishing Third-Party Risk Management for the AI System / Establishing Third-Party Risk Management Processes</w:t>
      </w:r>
      <w:bookmarkEnd w:id="11"/>
      <w:r w:rsidRPr="00963E47">
        <w:rPr>
          <w:rFonts w:ascii="Aptos" w:eastAsia="Aptos" w:hAnsi="Aptos" w:cs="Times New Roman"/>
          <w:b/>
          <w:bCs/>
          <w:noProof/>
          <w:color w:val="35256B"/>
          <w:kern w:val="2"/>
          <w:sz w:val="24"/>
          <w14:ligatures w14:val="standardContextual"/>
        </w:rPr>
        <w:t xml:space="preserve"> </w:t>
      </w:r>
    </w:p>
    <w:p w14:paraId="6CDB5101" w14:textId="77777777" w:rsidR="00963E47" w:rsidRDefault="00963E47" w:rsidP="004C3837">
      <w:pPr>
        <w:keepNext/>
        <w:rPr>
          <w:rFonts w:ascii="Aptos" w:eastAsia="Aptos" w:hAnsi="Aptos" w:cs="Times New Roman"/>
          <w:b/>
          <w:bCs/>
          <w:color w:val="C00000"/>
          <w:kern w:val="2"/>
          <w:sz w:val="24"/>
          <w14:ligatures w14:val="standardContextual"/>
        </w:rPr>
      </w:pPr>
    </w:p>
    <w:p w14:paraId="51C00000" w14:textId="77777777" w:rsidR="000A6B98" w:rsidRPr="00963E47" w:rsidRDefault="000A6B98" w:rsidP="004C3837">
      <w:pPr>
        <w:keepNext/>
        <w:rPr>
          <w:rFonts w:ascii="Aptos" w:eastAsia="Aptos" w:hAnsi="Aptos" w:cs="Times New Roman"/>
          <w:b/>
          <w:bCs/>
          <w:color w:val="C00000"/>
          <w:kern w:val="2"/>
          <w:sz w:val="24"/>
          <w14:ligatures w14:val="standardContextual"/>
        </w:rPr>
      </w:pPr>
    </w:p>
    <w:p w14:paraId="34BF778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3059E3C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41DF269A" w14:textId="77777777" w:rsidTr="005C00A5">
        <w:tc>
          <w:tcPr>
            <w:tcW w:w="1170" w:type="dxa"/>
          </w:tcPr>
          <w:p w14:paraId="0384A37D"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1280A37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6C0CCB46"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029F2991" w14:textId="77777777" w:rsidTr="005C00A5">
        <w:tc>
          <w:tcPr>
            <w:tcW w:w="1170" w:type="dxa"/>
          </w:tcPr>
          <w:p w14:paraId="28D8CA9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GV-6.1.1</w:t>
            </w:r>
          </w:p>
        </w:tc>
        <w:tc>
          <w:tcPr>
            <w:tcW w:w="2160" w:type="dxa"/>
          </w:tcPr>
          <w:p w14:paraId="1FE2061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Third-Party AI Evaluation and Selection</w:t>
            </w:r>
          </w:p>
        </w:tc>
        <w:tc>
          <w:tcPr>
            <w:tcW w:w="6740" w:type="dxa"/>
          </w:tcPr>
          <w:p w14:paraId="3D10490B"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establishes processes for evaluating and selecting third-party AI technologies based on criteria that assess security and privacy implications, integrating AI-specific considerations into third-party procurement planning, due diligence, evaluation, and contracting practices to create alignment with organizational risk management policies.</w:t>
            </w:r>
          </w:p>
          <w:p w14:paraId="34CEF6AD" w14:textId="77777777" w:rsidR="00963E47" w:rsidRPr="00963E47" w:rsidRDefault="00963E47" w:rsidP="004C3837">
            <w:pPr>
              <w:keepNext/>
              <w:rPr>
                <w:rFonts w:ascii="Aptos" w:hAnsi="Aptos" w:cs="Times New Roman"/>
                <w:b/>
                <w:bCs/>
                <w:color w:val="000000"/>
                <w:sz w:val="20"/>
                <w:szCs w:val="20"/>
              </w:rPr>
            </w:pPr>
          </w:p>
          <w:p w14:paraId="02DA0FDC" w14:textId="77777777" w:rsidR="00963E47" w:rsidRPr="00963E47" w:rsidRDefault="00963E47" w:rsidP="004C3837">
            <w:pPr>
              <w:keepNext/>
              <w:rPr>
                <w:rFonts w:ascii="Aptos" w:hAnsi="Aptos" w:cs="Times New Roman"/>
                <w:b/>
                <w:bCs/>
                <w:color w:val="000000"/>
                <w:sz w:val="20"/>
                <w:szCs w:val="20"/>
              </w:rPr>
            </w:pPr>
            <w:hyperlink r:id="rId20" w:anchor="govern-6-1" w:history="1">
              <w:r w:rsidRPr="00963E47">
                <w:rPr>
                  <w:rFonts w:ascii="Aptos" w:hAnsi="Aptos" w:cs="Times New Roman"/>
                  <w:color w:val="000000"/>
                  <w:sz w:val="20"/>
                  <w:szCs w:val="20"/>
                  <w:u w:val="single"/>
                </w:rPr>
                <w:t>Link to NIST AI RMF Playbook</w:t>
              </w:r>
            </w:hyperlink>
          </w:p>
        </w:tc>
      </w:tr>
    </w:tbl>
    <w:p w14:paraId="2F0A4D76"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394A71AB"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77F77C18"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3FA5C4CB" w14:textId="77777777" w:rsidTr="005C00A5">
        <w:trPr>
          <w:tblHeader/>
        </w:trPr>
        <w:tc>
          <w:tcPr>
            <w:tcW w:w="2160" w:type="dxa"/>
            <w:shd w:val="clear" w:color="auto" w:fill="CCDCDC"/>
            <w:vAlign w:val="center"/>
          </w:tcPr>
          <w:p w14:paraId="6C608FCA"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4F7927F3"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75FE80F2"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66F90F95" w14:textId="77777777" w:rsidTr="005C00A5">
        <w:tc>
          <w:tcPr>
            <w:tcW w:w="2160" w:type="dxa"/>
            <w:shd w:val="clear" w:color="auto" w:fill="CCDCDC"/>
          </w:tcPr>
          <w:p w14:paraId="557B6368"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79A16771"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00A5203"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are beginning to identify third-party AI technologies for potential use but lack formal processes for their evaluation. Considerations for security and privacy are largely informal or project-specific, without established criteria or integration into broader organizational risk management policies.</w:t>
            </w:r>
          </w:p>
        </w:tc>
      </w:tr>
      <w:tr w:rsidR="00963E47" w:rsidRPr="00963E47" w14:paraId="051A36B7" w14:textId="77777777" w:rsidTr="005C00A5">
        <w:tc>
          <w:tcPr>
            <w:tcW w:w="2160" w:type="dxa"/>
            <w:shd w:val="clear" w:color="auto" w:fill="CCDCDC"/>
          </w:tcPr>
          <w:p w14:paraId="7BD7C6CE"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1FF2BA75"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DE7EA74"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minimal stage establish basic processes for evaluating third-party AI technologies with initial focus on security and privacy considerations, creating a foundational approach to responsible AI procurement that can be expanded and refined over time.</w:t>
            </w:r>
          </w:p>
        </w:tc>
      </w:tr>
      <w:tr w:rsidR="00963E47" w:rsidRPr="00963E47" w14:paraId="1B9F4AD3" w14:textId="77777777" w:rsidTr="005C00A5">
        <w:tc>
          <w:tcPr>
            <w:tcW w:w="2160" w:type="dxa"/>
            <w:shd w:val="clear" w:color="auto" w:fill="CCDCDC"/>
          </w:tcPr>
          <w:p w14:paraId="59B1C466"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13C8668F"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0A1325D6"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develop criteria that incorporate security and privacy  considerations into third-party AI evaluation processes.</w:t>
            </w:r>
          </w:p>
        </w:tc>
      </w:tr>
      <w:tr w:rsidR="00963E47" w:rsidRPr="00963E47" w14:paraId="7DE774E3" w14:textId="77777777" w:rsidTr="005C00A5">
        <w:tc>
          <w:tcPr>
            <w:tcW w:w="2160" w:type="dxa"/>
            <w:shd w:val="clear" w:color="auto" w:fill="CCDCDC"/>
          </w:tcPr>
          <w:p w14:paraId="49065073"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124936C7"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1DC73275"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have automated, standardized procedures that consistently assess AI vendors and technologies based on these criteria, ensuring alignment with risk management policies and promoting responsible AI adoption, supporting AI Trustworthy Principles.</w:t>
            </w:r>
          </w:p>
        </w:tc>
      </w:tr>
    </w:tbl>
    <w:p w14:paraId="337C261F"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31DE0509" w14:textId="77777777" w:rsidTr="005C00A5">
        <w:tc>
          <w:tcPr>
            <w:tcW w:w="2250" w:type="dxa"/>
          </w:tcPr>
          <w:p w14:paraId="3CCF3E4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759489B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5E7461EF"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7F3D9F21" w14:textId="77777777" w:rsidTr="005C00A5">
        <w:tc>
          <w:tcPr>
            <w:tcW w:w="2250" w:type="dxa"/>
          </w:tcPr>
          <w:p w14:paraId="2D7403BC"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56C0187D"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Insufficient Third-Party Evaluation</w:t>
            </w:r>
          </w:p>
        </w:tc>
        <w:tc>
          <w:tcPr>
            <w:tcW w:w="5300" w:type="dxa"/>
          </w:tcPr>
          <w:p w14:paraId="2278616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Processes for evaluating third-party AI technologies are insufficient or missing</w:t>
            </w:r>
          </w:p>
        </w:tc>
      </w:tr>
    </w:tbl>
    <w:p w14:paraId="7A0EB8B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1D1048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6AA82E0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0FA7AB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Establish clear processes for evaluating and selecting third-party AI technologies to be integrated into the AI system. These processes should be based on a set of criteria that assess the security and privacy implications of each technology, ensuring alignment with the organization's overall risk management policies. </w:t>
      </w:r>
    </w:p>
    <w:p w14:paraId="34438757"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1DABF6E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lastRenderedPageBreak/>
        <w:t>Develop a standardized evaluation framework that includes a set of questions or requirements that each potential third-party provider must address. Key areas to assess should include data handling practices, model training and testing procedures, and transparency and accountability measures.</w:t>
      </w:r>
    </w:p>
    <w:p w14:paraId="692C2E78"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5EFFAC0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Engage internal stakeholders, such as legal, security, and compliance teams, to ensure that the evaluation criteria are comprehensive and align with the organization's values and priorities. Establish a review and approval process for each third-party technology, including documentation of the evaluation results and any identified risks or concerns. Ensure that the selection process is transparent and that relevant stakeholders are involved in the decision-making process, promoting collaboration and informed choices.</w:t>
      </w:r>
    </w:p>
    <w:p w14:paraId="11775ABE"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2AE0E87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1142F4F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0BCC2D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Development of a Third-Party AI Evaluation Framework</w:t>
      </w:r>
    </w:p>
    <w:p w14:paraId="748B3F1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Create a formal framework that defines criteria and processes for assessing third-party AI solutions on security and privacy, ensuring comprehensive risk-based evaluation.</w:t>
      </w:r>
    </w:p>
    <w:p w14:paraId="1CFF5947"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B10B41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Evaluation templates or checklists incorporating AI-specific security and privacy metrics.</w:t>
      </w:r>
    </w:p>
    <w:p w14:paraId="1AD8974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Approval workflows for third-party assessments aligned with risk policies.</w:t>
      </w:r>
    </w:p>
    <w:p w14:paraId="0230C4A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Detailed criteria outlining minimum standards and scoring mechanisms.</w:t>
      </w:r>
    </w:p>
    <w:p w14:paraId="23F6160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Version-controlled evaluation protocols.</w:t>
      </w:r>
    </w:p>
    <w:p w14:paraId="32B83469"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FBF6228"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Due Diligence and Vendor Assessment Processes</w:t>
      </w:r>
    </w:p>
    <w:p w14:paraId="4C25735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 thorough due diligence activities, including risk assessments, code reviews, and compliance checks, tailored to AI-specific risks, during vendor evaluation and before procurement.</w:t>
      </w:r>
    </w:p>
    <w:p w14:paraId="53C6D68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E1FDD0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assessment reports for each AI vendor or solution.</w:t>
      </w:r>
    </w:p>
    <w:p w14:paraId="776FC21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Security and privacy compliance documentation review records.</w:t>
      </w:r>
    </w:p>
    <w:p w14:paraId="1575D70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Technical assessments, including model transparency and bias evaluation.</w:t>
      </w:r>
    </w:p>
    <w:p w14:paraId="64C800B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Due diligence checklists with AI-specific questions.</w:t>
      </w:r>
    </w:p>
    <w:p w14:paraId="67D12587"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D99A833"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Contracting and Risk Mitigation Clauses</w:t>
      </w:r>
    </w:p>
    <w:p w14:paraId="6AD6858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Incorporate contractual clauses addressing security and privacy, assessments, and liability, aligned with organizational policies and standards.</w:t>
      </w:r>
    </w:p>
    <w:p w14:paraId="42CDF73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292E5F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Contract templates with AI-specific risk mitigation provisions.</w:t>
      </w:r>
    </w:p>
    <w:p w14:paraId="088CB91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Signed agreements explicitly covering security, data governance, and responsible use.</w:t>
      </w:r>
    </w:p>
    <w:p w14:paraId="19A4FC6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Auditing and monitoring clauses for ongoing compliance.</w:t>
      </w:r>
    </w:p>
    <w:p w14:paraId="6974920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Documentation of contract reviews and approvals.</w:t>
      </w:r>
    </w:p>
    <w:p w14:paraId="3811F0E1"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352AA4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Integration with Organizational Risk Policies and Oversight</w:t>
      </w:r>
    </w:p>
    <w:p w14:paraId="355B24A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Ensure evaluation outcomes inform risk management decisions, with integration into the broader enterprise risk management and oversight frameworks.</w:t>
      </w:r>
    </w:p>
    <w:p w14:paraId="049A2A1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94D346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register entries linking third-party AI solutions with identified issues.</w:t>
      </w:r>
    </w:p>
    <w:p w14:paraId="11E140C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Management approval records for deployment decisions based on evaluated risks.</w:t>
      </w:r>
    </w:p>
    <w:p w14:paraId="097E931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Reports showing alignment between evaluation results and organizational risk appetite.</w:t>
      </w:r>
    </w:p>
    <w:p w14:paraId="57DEBFA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Oversight meeting minutes discussing third-party AI risks.</w:t>
      </w:r>
    </w:p>
    <w:p w14:paraId="176BA777"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8043761"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Continuous Monitoring and Reassessment</w:t>
      </w:r>
    </w:p>
    <w:p w14:paraId="74CD521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ongoing monitoring processes for third-party AI solutions, including periodic reassessment of security and privacy, with updates embedded into contract terms.</w:t>
      </w:r>
    </w:p>
    <w:p w14:paraId="03D30BA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272003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Monitoring schedules and compliance audit reports.</w:t>
      </w:r>
    </w:p>
    <w:p w14:paraId="7A7F514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Post-deployment risk reassessment documentation.</w:t>
      </w:r>
    </w:p>
    <w:p w14:paraId="015E61C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Incident or breach reports linked to third-party AI solutions.</w:t>
      </w:r>
    </w:p>
    <w:p w14:paraId="1CD98CF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evaluation criteria reflecting evolving standards and lessons learned.</w:t>
      </w:r>
    </w:p>
    <w:p w14:paraId="6101EE18"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2217F88F"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6DAF9C0C"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2" w:name="_Toc221016941"/>
      <w:r w:rsidRPr="00963E47">
        <w:rPr>
          <w:rFonts w:ascii="Aptos" w:eastAsia="Aptos" w:hAnsi="Aptos" w:cs="Times New Roman"/>
          <w:b/>
          <w:bCs/>
          <w:noProof/>
          <w:color w:val="35256B"/>
          <w:kern w:val="2"/>
          <w:sz w:val="24"/>
          <w14:ligatures w14:val="standardContextual"/>
        </w:rPr>
        <w:t>MAP / Understanding the Operating Context / Defining the Operating Context</w:t>
      </w:r>
      <w:bookmarkEnd w:id="12"/>
      <w:r w:rsidRPr="00963E47">
        <w:rPr>
          <w:rFonts w:ascii="Aptos" w:eastAsia="Aptos" w:hAnsi="Aptos" w:cs="Times New Roman"/>
          <w:b/>
          <w:bCs/>
          <w:noProof/>
          <w:color w:val="35256B"/>
          <w:kern w:val="2"/>
          <w:sz w:val="24"/>
          <w14:ligatures w14:val="standardContextual"/>
        </w:rPr>
        <w:t xml:space="preserve"> </w:t>
      </w:r>
    </w:p>
    <w:p w14:paraId="05025A4B"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464EB24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541B49F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197CD2D1" w14:textId="77777777" w:rsidTr="005C00A5">
        <w:tc>
          <w:tcPr>
            <w:tcW w:w="1170" w:type="dxa"/>
          </w:tcPr>
          <w:p w14:paraId="35F1EE6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1D531B6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184E937D"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63689514" w14:textId="77777777" w:rsidTr="005C00A5">
        <w:tc>
          <w:tcPr>
            <w:tcW w:w="1170" w:type="dxa"/>
          </w:tcPr>
          <w:p w14:paraId="64B05C7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MP-1.1.1</w:t>
            </w:r>
          </w:p>
        </w:tc>
        <w:tc>
          <w:tcPr>
            <w:tcW w:w="2160" w:type="dxa"/>
          </w:tcPr>
          <w:p w14:paraId="5CD71D9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Purpose and Context Documentation</w:t>
            </w:r>
          </w:p>
        </w:tc>
        <w:tc>
          <w:tcPr>
            <w:tcW w:w="6740" w:type="dxa"/>
          </w:tcPr>
          <w:p w14:paraId="4396E8B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identifies and documents the AI system’s purpose, context, beneficial uses, user types and expectations, relevant laws, norms, and prospective deployment settings.</w:t>
            </w:r>
          </w:p>
          <w:p w14:paraId="0F6AC3E6" w14:textId="77777777" w:rsidR="00963E47" w:rsidRPr="00963E47" w:rsidRDefault="00963E47" w:rsidP="004C3837">
            <w:pPr>
              <w:keepNext/>
              <w:rPr>
                <w:rFonts w:ascii="Aptos" w:hAnsi="Aptos" w:cs="Times New Roman"/>
                <w:b/>
                <w:bCs/>
                <w:color w:val="000000"/>
                <w:sz w:val="20"/>
                <w:szCs w:val="20"/>
              </w:rPr>
            </w:pPr>
          </w:p>
          <w:p w14:paraId="0DE9F4FF" w14:textId="77777777" w:rsidR="00963E47" w:rsidRPr="00963E47" w:rsidRDefault="00963E47" w:rsidP="004C3837">
            <w:pPr>
              <w:keepNext/>
              <w:rPr>
                <w:rFonts w:ascii="Aptos" w:hAnsi="Aptos" w:cs="Times New Roman"/>
                <w:b/>
                <w:bCs/>
                <w:color w:val="000000"/>
                <w:sz w:val="20"/>
                <w:szCs w:val="20"/>
              </w:rPr>
            </w:pPr>
            <w:hyperlink r:id="rId21" w:anchor="map-1-1" w:history="1">
              <w:r w:rsidRPr="00963E47">
                <w:rPr>
                  <w:rFonts w:ascii="Aptos" w:hAnsi="Aptos" w:cs="Times New Roman"/>
                  <w:color w:val="000000"/>
                  <w:sz w:val="20"/>
                  <w:szCs w:val="20"/>
                  <w:u w:val="single"/>
                </w:rPr>
                <w:t>Link to NIST AI RMF Playbook</w:t>
              </w:r>
            </w:hyperlink>
          </w:p>
        </w:tc>
      </w:tr>
    </w:tbl>
    <w:p w14:paraId="3E2C142E"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3C0F027A"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26DECD07"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3D909AC9" w14:textId="77777777" w:rsidTr="005C00A5">
        <w:trPr>
          <w:tblHeader/>
        </w:trPr>
        <w:tc>
          <w:tcPr>
            <w:tcW w:w="2160" w:type="dxa"/>
            <w:shd w:val="clear" w:color="auto" w:fill="CCDCDC"/>
            <w:vAlign w:val="center"/>
          </w:tcPr>
          <w:p w14:paraId="4C6C3CB1"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6F612026"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7C1B4770"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427D3DBB" w14:textId="77777777" w:rsidTr="005C00A5">
        <w:tc>
          <w:tcPr>
            <w:tcW w:w="2160" w:type="dxa"/>
            <w:shd w:val="clear" w:color="auto" w:fill="CCDCDC"/>
          </w:tcPr>
          <w:p w14:paraId="6F8ED7AD"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55F4ECB3"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0297BC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are beginning to identify and document basic information about the AI system's purpose, context, and intended uses. The process is likely informal and high-level at this stage.</w:t>
            </w:r>
          </w:p>
        </w:tc>
      </w:tr>
      <w:tr w:rsidR="00963E47" w:rsidRPr="00963E47" w14:paraId="4642EEF3" w14:textId="77777777" w:rsidTr="005C00A5">
        <w:tc>
          <w:tcPr>
            <w:tcW w:w="2160" w:type="dxa"/>
            <w:shd w:val="clear" w:color="auto" w:fill="CCDCDC"/>
          </w:tcPr>
          <w:p w14:paraId="59B605A0"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3702AB09"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7C683EEC"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minimal stage have established a process for documenting key information about the AI system, but it may not be comprehensive or consistently applied across all systems.</w:t>
            </w:r>
          </w:p>
        </w:tc>
      </w:tr>
      <w:tr w:rsidR="00963E47" w:rsidRPr="00963E47" w14:paraId="319A415C" w14:textId="77777777" w:rsidTr="005C00A5">
        <w:tc>
          <w:tcPr>
            <w:tcW w:w="2160" w:type="dxa"/>
            <w:shd w:val="clear" w:color="auto" w:fill="CCDCDC"/>
          </w:tcPr>
          <w:p w14:paraId="10D5CD00"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752641F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7BE10E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have a well-defined and consistently applied process for thoroughly identifying and documenting the AI system's purpose, context, uses, applicable laws/norms, and deployment settings.</w:t>
            </w:r>
          </w:p>
        </w:tc>
      </w:tr>
      <w:tr w:rsidR="00963E47" w:rsidRPr="00963E47" w14:paraId="76F6C3DB" w14:textId="77777777" w:rsidTr="005C00A5">
        <w:tc>
          <w:tcPr>
            <w:tcW w:w="2160" w:type="dxa"/>
            <w:shd w:val="clear" w:color="auto" w:fill="CCDCDC"/>
          </w:tcPr>
          <w:p w14:paraId="05CA340D"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393B9118"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D3A0C4D"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embedded stage maintain comprehensive, standardized documentation that is regularly updated, ensuring transparency and responsible AI deployment aligned with AI Trustworthy Principles.</w:t>
            </w:r>
          </w:p>
        </w:tc>
      </w:tr>
    </w:tbl>
    <w:p w14:paraId="73C4993F"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17E0CF8F" w14:textId="77777777" w:rsidTr="005C00A5">
        <w:tc>
          <w:tcPr>
            <w:tcW w:w="2250" w:type="dxa"/>
          </w:tcPr>
          <w:p w14:paraId="58380D4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796265AF"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4EE3E54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49210DCD" w14:textId="77777777" w:rsidTr="005C00A5">
        <w:tc>
          <w:tcPr>
            <w:tcW w:w="2250" w:type="dxa"/>
          </w:tcPr>
          <w:p w14:paraId="26875BD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31DB3E7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Undocumented AI System Purpose and Context</w:t>
            </w:r>
          </w:p>
        </w:tc>
        <w:tc>
          <w:tcPr>
            <w:tcW w:w="5300" w:type="dxa"/>
          </w:tcPr>
          <w:p w14:paraId="42F842A2"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system purpose and context are undocumented or doesn't consider deployment settings</w:t>
            </w:r>
          </w:p>
        </w:tc>
      </w:tr>
    </w:tbl>
    <w:p w14:paraId="141B603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794709A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354A262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78A79CB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To establish a clear understanding of the AI system's context, document its intended purpose, beneficial uses, and prospective deployment settings. Engage relevant stakeholders such as business owners, end-users, and subject matter experts to gather input on the specific goals and objectives of the AI system, as well as its potential benefits. </w:t>
      </w:r>
    </w:p>
    <w:p w14:paraId="5134B2F6"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6DC2591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Analyze the legal and regulatory landscape, and identify applicable laws, regulations, and/or industry standards. Document user types, expectations, and requirements, ensuring this information is communicated clearly and is accessible to relevant parties involved in the AI system's development and deployment.</w:t>
      </w:r>
    </w:p>
    <w:p w14:paraId="53E18DE4"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0F0D547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Regularly update this documentation as needed to reflect any changes, maintaining its relevance and accuracy.</w:t>
      </w:r>
    </w:p>
    <w:p w14:paraId="0D6D737B"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3AF3F5E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3C2D4595"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FD3347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AI System Purpose and Use-Case Statement</w:t>
      </w:r>
    </w:p>
    <w:p w14:paraId="549113D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Require a formal, system-level purpose statement for every AI project that defines intended benefits, primary/secondary use-cases, business objectives, and constraints; this statement must be approved by the system owner and product sponsor before development.</w:t>
      </w:r>
    </w:p>
    <w:p w14:paraId="5CB42CE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72B5A0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Approved system purpose/use-case document or PRD.</w:t>
      </w:r>
    </w:p>
    <w:p w14:paraId="252AB78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Sign-off records from system owner, product sponsor, and relevant governance body.</w:t>
      </w:r>
    </w:p>
    <w:p w14:paraId="72CEC9B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 history showing updates when the system scope or objectives change.</w:t>
      </w:r>
    </w:p>
    <w:p w14:paraId="021C98D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Linked registry entry in the AI catalog referencing the purpose statement.</w:t>
      </w:r>
    </w:p>
    <w:p w14:paraId="1E204E98"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873D292"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Contextual Deployment and Environment Profile</w:t>
      </w:r>
    </w:p>
    <w:p w14:paraId="6E62021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Document the operational context and deployment settings for the AI system (e.g., intended users, geographic jurisdictions, technical environment, integration points, decision autonomy level) to assess constraints and risk exposure.</w:t>
      </w:r>
    </w:p>
    <w:p w14:paraId="40F7A23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71630A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Deployment/environment profile forms detailing jurisdictions, integration architecture, user types, and autonomy level.</w:t>
      </w:r>
    </w:p>
    <w:p w14:paraId="2955645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System architecture diagrams and environment inventories tied to the profile.</w:t>
      </w:r>
    </w:p>
    <w:p w14:paraId="4BF81AA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environment-specific legal or regulatory requirements identified for each jurisdiction.</w:t>
      </w:r>
    </w:p>
    <w:p w14:paraId="082259F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Approval or review notes from operations/security teams confirming environment suitability.</w:t>
      </w:r>
    </w:p>
    <w:p w14:paraId="28E263E0"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01E479E"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Stakeholder and User Expectation Analysis</w:t>
      </w:r>
    </w:p>
    <w:p w14:paraId="74AE378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Conduct and document stakeholder mapping and user expectation analyses (including vulnerable or special-interest groups) to identify needs, likely interactions, transparency requirements, and potential harms; include documented mitigation strategies.</w:t>
      </w:r>
    </w:p>
    <w:p w14:paraId="5A966DDF"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801E6D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mapping documents and user personas with documented expectations and risk considerations.</w:t>
      </w:r>
    </w:p>
    <w:p w14:paraId="5C01B65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Notes or reports from stakeholder interviews, workshops, or surveys.</w:t>
      </w:r>
    </w:p>
    <w:p w14:paraId="48BD51E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Impact/risk matrices linking user expectations to mitigation strategies and owners.</w:t>
      </w:r>
    </w:p>
    <w:p w14:paraId="21FC793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showing incorporation of findings into design requirements or mitigation plans.</w:t>
      </w:r>
    </w:p>
    <w:p w14:paraId="6DC217F4"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A1DCC99"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Legal, Normative and Regulatory Applicability Record</w:t>
      </w:r>
    </w:p>
    <w:p w14:paraId="743EE53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a documented assessment that maps applicable laws, regulations, industry norms, contractual obligations, and guidelines to the AI system and its deployment contexts, with identified compliance actions and owners.</w:t>
      </w:r>
    </w:p>
    <w:p w14:paraId="2BEC74C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949C63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Legal/regulatory applicability checklist or mapping for the system listing statutes, standards, and contractual clauses.</w:t>
      </w:r>
    </w:p>
    <w:p w14:paraId="0E45515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Assigned owner records for each identified legal/contractual obligation and planned compliance actions.</w:t>
      </w:r>
    </w:p>
    <w:p w14:paraId="144D728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Legal review memos or compliance sign-offs referencing the mapping.</w:t>
      </w:r>
    </w:p>
    <w:p w14:paraId="7A2EB62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Updates to the mapping when new jurisdictions or deployment contexts are added.</w:t>
      </w:r>
    </w:p>
    <w:p w14:paraId="6D0EB03C" w14:textId="77777777" w:rsidR="00963E47" w:rsidRPr="00963E47" w:rsidRDefault="00963E47" w:rsidP="004C3837">
      <w:pPr>
        <w:rPr>
          <w:rFonts w:ascii="Aptos" w:eastAsia="Aptos" w:hAnsi="Aptos" w:cs="Times New Roman"/>
          <w:color w:val="auto"/>
          <w:kern w:val="2"/>
          <w:sz w:val="20"/>
          <w:szCs w:val="20"/>
          <w14:ligatures w14:val="standardContextual"/>
        </w:rPr>
      </w:pPr>
    </w:p>
    <w:p w14:paraId="678BE54E"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Acceptable and Prohibited Use Cases and Boundary Conditions Register</w:t>
      </w:r>
    </w:p>
    <w:p w14:paraId="7CE8D6B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Publish a register for each AI system specifying acceptable uses, prohibited uses, boundary conditions, and fail-safe behavior; require owners to validate that designs and controls enforce these boundaries prior to deployment.</w:t>
      </w:r>
    </w:p>
    <w:p w14:paraId="0B834F6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78AF41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System use register entries enumerating allowed/prohibited uses and boundary conditions with owner attestations.</w:t>
      </w:r>
    </w:p>
    <w:p w14:paraId="38C415D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Test plans and results demonstrating enforcement of prohibited-use controls and fail-safe scenarios.</w:t>
      </w:r>
    </w:p>
    <w:p w14:paraId="5586A50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Change-control records showing updates to acceptable uses following reviews or incidents.</w:t>
      </w:r>
    </w:p>
    <w:p w14:paraId="297517A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Communications and training materials sent to user groups describing acceptable uses and expectations.</w:t>
      </w:r>
    </w:p>
    <w:p w14:paraId="0C18C739"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2D9F849D"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5BAF49A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6EA8BA7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139D3E4F" w14:textId="77777777" w:rsidTr="005C00A5">
        <w:tc>
          <w:tcPr>
            <w:tcW w:w="1170" w:type="dxa"/>
          </w:tcPr>
          <w:p w14:paraId="5A058526"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20D1E5A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2F63681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401A77EF" w14:textId="77777777" w:rsidTr="005C00A5">
        <w:tc>
          <w:tcPr>
            <w:tcW w:w="1170" w:type="dxa"/>
          </w:tcPr>
          <w:p w14:paraId="126C0B2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MP-1.1.2</w:t>
            </w:r>
          </w:p>
        </w:tc>
        <w:tc>
          <w:tcPr>
            <w:tcW w:w="2160" w:type="dxa"/>
          </w:tcPr>
          <w:p w14:paraId="55F4C8A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Impact and Stakeholder Impact Assessment</w:t>
            </w:r>
          </w:p>
        </w:tc>
        <w:tc>
          <w:tcPr>
            <w:tcW w:w="6740" w:type="dxa"/>
          </w:tcPr>
          <w:p w14:paraId="2AC3C28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considers the potential positive and negative impacts of the AI system in collaboration with a multidisciplinary set of relevant stakeholders (e.g., domain experts, human factors experts, affected communities) throughout its lifecycle.</w:t>
            </w:r>
          </w:p>
          <w:p w14:paraId="330AB6E5" w14:textId="77777777" w:rsidR="00963E47" w:rsidRPr="00963E47" w:rsidRDefault="00963E47" w:rsidP="004C3837">
            <w:pPr>
              <w:keepNext/>
              <w:rPr>
                <w:rFonts w:ascii="Aptos" w:hAnsi="Aptos" w:cs="Times New Roman"/>
                <w:b/>
                <w:bCs/>
                <w:color w:val="000000"/>
                <w:sz w:val="20"/>
                <w:szCs w:val="20"/>
              </w:rPr>
            </w:pPr>
          </w:p>
          <w:p w14:paraId="3D1740B7" w14:textId="77777777" w:rsidR="00963E47" w:rsidRPr="00963E47" w:rsidRDefault="00963E47" w:rsidP="004C3837">
            <w:pPr>
              <w:keepNext/>
              <w:rPr>
                <w:rFonts w:ascii="Aptos" w:hAnsi="Aptos" w:cs="Times New Roman"/>
                <w:b/>
                <w:bCs/>
                <w:color w:val="000000"/>
                <w:sz w:val="20"/>
                <w:szCs w:val="20"/>
              </w:rPr>
            </w:pPr>
            <w:hyperlink r:id="rId22" w:anchor="map-1-1" w:history="1">
              <w:r w:rsidRPr="00963E47">
                <w:rPr>
                  <w:rFonts w:ascii="Aptos" w:hAnsi="Aptos" w:cs="Times New Roman"/>
                  <w:color w:val="000000"/>
                  <w:sz w:val="20"/>
                  <w:szCs w:val="20"/>
                  <w:u w:val="single"/>
                </w:rPr>
                <w:t>Link to NIST AI RMF Playbook</w:t>
              </w:r>
            </w:hyperlink>
          </w:p>
        </w:tc>
      </w:tr>
    </w:tbl>
    <w:p w14:paraId="5277E24A"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5C31223F"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63FBC445"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4ACECEE6" w14:textId="77777777" w:rsidTr="005C00A5">
        <w:trPr>
          <w:tblHeader/>
        </w:trPr>
        <w:tc>
          <w:tcPr>
            <w:tcW w:w="2160" w:type="dxa"/>
            <w:shd w:val="clear" w:color="auto" w:fill="CCDCDC"/>
            <w:vAlign w:val="center"/>
          </w:tcPr>
          <w:p w14:paraId="4CA56ECC"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019858E3"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4C96A899"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7659052D" w14:textId="77777777" w:rsidTr="005C00A5">
        <w:tc>
          <w:tcPr>
            <w:tcW w:w="2160" w:type="dxa"/>
            <w:shd w:val="clear" w:color="auto" w:fill="CCDCDC"/>
          </w:tcPr>
          <w:p w14:paraId="7AE42046"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1CB70BA7"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546C0A3"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can prioritize inclusion of multidisciplinary perspectives (e.g., domain experts, human factors experts) in first internal and vendor meetings and in planning and design work.</w:t>
            </w:r>
          </w:p>
        </w:tc>
      </w:tr>
      <w:tr w:rsidR="00963E47" w:rsidRPr="00963E47" w14:paraId="122B14CC" w14:textId="77777777" w:rsidTr="005C00A5">
        <w:tc>
          <w:tcPr>
            <w:tcW w:w="2160" w:type="dxa"/>
            <w:shd w:val="clear" w:color="auto" w:fill="CCDCDC"/>
          </w:tcPr>
          <w:p w14:paraId="502898FE"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408215AD"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98659AD"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are starting to consider the AI system's potential impacts, but the assessment may be limited in scope and not consistently involve a multidisciplinary set of stakeholders.</w:t>
            </w:r>
          </w:p>
        </w:tc>
      </w:tr>
      <w:tr w:rsidR="00963E47" w:rsidRPr="00963E47" w14:paraId="39DC5370" w14:textId="77777777" w:rsidTr="005C00A5">
        <w:tc>
          <w:tcPr>
            <w:tcW w:w="2160" w:type="dxa"/>
            <w:shd w:val="clear" w:color="auto" w:fill="CCDCDC"/>
          </w:tcPr>
          <w:p w14:paraId="19C98C83"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64202C1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1497362"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conduct more thorough assessments of the AI system's potential impacts in collaboration with a multidisciplinary group of relevant stakeholders. The process is well-defined and consistently applied.</w:t>
            </w:r>
          </w:p>
        </w:tc>
      </w:tr>
      <w:tr w:rsidR="00963E47" w:rsidRPr="00963E47" w14:paraId="695118B6" w14:textId="77777777" w:rsidTr="005C00A5">
        <w:tc>
          <w:tcPr>
            <w:tcW w:w="2160" w:type="dxa"/>
            <w:shd w:val="clear" w:color="auto" w:fill="CCDCDC"/>
          </w:tcPr>
          <w:p w14:paraId="5479CB8C"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5F82AE39"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3629DEB"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incorporate ongoing, structured collaboration with a broad range of stakeholders into their standard processes, ensuring responsible and inclusive AI development aligned with AI Trustworthy Principles.</w:t>
            </w:r>
          </w:p>
        </w:tc>
      </w:tr>
    </w:tbl>
    <w:p w14:paraId="672DDDE0"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4B67A6DE" w14:textId="77777777" w:rsidTr="005C00A5">
        <w:tc>
          <w:tcPr>
            <w:tcW w:w="2250" w:type="dxa"/>
          </w:tcPr>
          <w:p w14:paraId="65A5B97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21C8AA9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2A459B6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43EE3789" w14:textId="77777777" w:rsidTr="005C00A5">
        <w:tc>
          <w:tcPr>
            <w:tcW w:w="2250" w:type="dxa"/>
          </w:tcPr>
          <w:p w14:paraId="6279746E"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Fair</w:t>
            </w:r>
          </w:p>
        </w:tc>
        <w:tc>
          <w:tcPr>
            <w:tcW w:w="2520" w:type="dxa"/>
          </w:tcPr>
          <w:p w14:paraId="68747B5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Insufficient Stakeholder Impact Consideration</w:t>
            </w:r>
          </w:p>
        </w:tc>
        <w:tc>
          <w:tcPr>
            <w:tcW w:w="5300" w:type="dxa"/>
          </w:tcPr>
          <w:p w14:paraId="57ADDC6D"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Stakeholder collaboration is insufficient in AI impact assessment</w:t>
            </w:r>
          </w:p>
        </w:tc>
      </w:tr>
    </w:tbl>
    <w:p w14:paraId="24D558DD"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7BEE4D0"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615CC0D3"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E5E408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Engage a multidisciplinary set of relevant stakeholders (e.g., domain experts, human factors experts, and representatives from potentially affected communities) to inform and support ongoing impact considerations of the AI </w:t>
      </w:r>
      <w:r w:rsidRPr="00963E47">
        <w:rPr>
          <w:rFonts w:ascii="Aptos" w:eastAsia="Aptos" w:hAnsi="Aptos" w:cs="Times New Roman"/>
          <w:noProof/>
          <w:color w:val="auto"/>
          <w:kern w:val="2"/>
          <w:sz w:val="20"/>
          <w:szCs w:val="20"/>
          <w14:ligatures w14:val="standardContextual"/>
        </w:rPr>
        <w:lastRenderedPageBreak/>
        <w:t>system. These considerations should focus on ensuring that the AI system works as intended and adheres to principles of fairness, transparency, accountability, and safety, particularly in regulated environments.</w:t>
      </w:r>
    </w:p>
    <w:p w14:paraId="40DD9D9C"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10F4301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Use the impact consideration results to guide the design, development, deployment, and continual improvement of the AI system. This includes identifying any risks and implementing appropriate mitigation strategies. The process should be transparent, well-documented, and communicated to stakeholders, with clear criteria for consistency. Implement a follow-up mechanism after deployment to reassess impacts as the system evolves.</w:t>
      </w:r>
    </w:p>
    <w:p w14:paraId="02E64BC3"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57F5240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The primary goal is to utilize the AI system effectively to benefit customers, ensuring that the impact considerations support valid, fit-for-purpose solutions that align with regulatory requirements related to fair treatment and non-discrimination.</w:t>
      </w:r>
    </w:p>
    <w:p w14:paraId="7274C0A4"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040F541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5B1970E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7A0C845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Stakeholder Engagement Plan and Forum</w:t>
      </w:r>
    </w:p>
    <w:p w14:paraId="4D3DC93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a documented stakeholder engagement plan and recurring forum(s) that identify relevant internal and external stakeholders (domain experts, human factors, community representatives, civil society, regulators) and schedule consultations at key lifecycle stages to gather input on impacts and mitigation measures.</w:t>
      </w:r>
    </w:p>
    <w:p w14:paraId="565CDAB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340280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engagement plan and roster listing participants, roles, and engagement schedule.</w:t>
      </w:r>
    </w:p>
    <w:p w14:paraId="0F4C643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Agendas, minutes, and attendee lists from stakeholder forums, workshops, or consultations.</w:t>
      </w:r>
    </w:p>
    <w:p w14:paraId="00AC88D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Submitted stakeholder feedback logs and action-tracking entries showing responses and resolutions.</w:t>
      </w:r>
    </w:p>
    <w:p w14:paraId="760B50B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Communications confirming outreach to affected communities (invitations, outreach materials).</w:t>
      </w:r>
    </w:p>
    <w:p w14:paraId="2B2357F1" w14:textId="77777777" w:rsidR="00963E47" w:rsidRPr="00963E47" w:rsidRDefault="00963E47" w:rsidP="004C3837">
      <w:pPr>
        <w:rPr>
          <w:rFonts w:ascii="Aptos" w:eastAsia="Aptos" w:hAnsi="Aptos" w:cs="Times New Roman"/>
          <w:color w:val="auto"/>
          <w:kern w:val="2"/>
          <w:sz w:val="20"/>
          <w:szCs w:val="20"/>
          <w14:ligatures w14:val="standardContextual"/>
        </w:rPr>
      </w:pPr>
    </w:p>
    <w:p w14:paraId="05F17C11"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Inclusive Impact Assessment Process</w:t>
      </w:r>
    </w:p>
    <w:p w14:paraId="1C313E8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Require documented impact assessments (economic, privacy, safety) that include inputs from multidisciplinary stakeholders and consider disparate impacts; assessments must be reviewed and approved before deployment.</w:t>
      </w:r>
    </w:p>
    <w:p w14:paraId="28390DF9"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FD9DB2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Completed impact assessment reports with sections documenting stakeholder inputs and identified impacts.</w:t>
      </w:r>
    </w:p>
    <w:p w14:paraId="53B85A6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Approval/sign-off records from a multidisciplinary review panel including external/community representatives.</w:t>
      </w:r>
    </w:p>
    <w:p w14:paraId="6270097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Mitigation plans derived from the assessment with assigned owners and status tracking.</w:t>
      </w:r>
    </w:p>
    <w:p w14:paraId="7F27E5F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Evidence of follow-up consultations with stakeholders on proposed mitigations.</w:t>
      </w:r>
    </w:p>
    <w:p w14:paraId="38AEC086"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31CB5B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Participatory Design and Co-creation Activities</w:t>
      </w:r>
    </w:p>
    <w:p w14:paraId="1F73E99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Integrate participatory design methods (co-creation workshops, user testing with representative populations, lived-experience advisory panels) into design and testing phases to surface real-world impacts, usability concerns, and contextual nuances.</w:t>
      </w:r>
    </w:p>
    <w:p w14:paraId="3CD479C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E519FA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Workshop artifacts (design prototypes, user-testing scripts), participant recruitment records, and consent forms.</w:t>
      </w:r>
    </w:p>
    <w:p w14:paraId="5C670FB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Usability and feedback reports summarizing findings from representative user groups and resulting design changes.</w:t>
      </w:r>
    </w:p>
    <w:p w14:paraId="78D2492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advisory panel recommendations and documented incorporation into design specifications.</w:t>
      </w:r>
    </w:p>
    <w:p w14:paraId="364D321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Photographs or recordings (with consent) and debrief notes from participatory sessions.</w:t>
      </w:r>
    </w:p>
    <w:p w14:paraId="4A866202"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06ACA89"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Impact Monitoring with Community-Linked Feedback Channels</w:t>
      </w:r>
    </w:p>
    <w:p w14:paraId="3BE89B2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 post-deployment monitoring that tracks impact indicators and provide accessible feedback channels for affected users to report harms or concerns; ensure reports trigger investigation and remediation workflows.</w:t>
      </w:r>
    </w:p>
    <w:p w14:paraId="6594CF2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18DCF16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Monitoring dashboards capturing agreed impact indicators (complaints, equity metrics, misuse reports) and periodic impact reports.</w:t>
      </w:r>
    </w:p>
    <w:p w14:paraId="6F25C02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lastRenderedPageBreak/>
        <w:t>• Public-facing feedback/contact mechanisms and logs of incoming reports from users.</w:t>
      </w:r>
    </w:p>
    <w:p w14:paraId="164979C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Investigation records, incident tickets, and remediation action logs tied to reported harms.</w:t>
      </w:r>
    </w:p>
    <w:p w14:paraId="1BD27B0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Periodic reports to governance bodies summarizing feedback, trends, and remediation status.</w:t>
      </w:r>
    </w:p>
    <w:p w14:paraId="74C66EF1"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B9B049D"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Community Benefit and Harm Mitigation Commitments</w:t>
      </w:r>
    </w:p>
    <w:p w14:paraId="050CFEF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Define and publish commitments to maximize community benefits and mitigate harms (e.g., compensation, access improvements, transparency measures), integrate these into project plans and contracts, and track fulfillment through KPIs.</w:t>
      </w:r>
    </w:p>
    <w:p w14:paraId="5E9EDE7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FC8672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Documented community benefit/harm mitigation plans with KPIs, owners, and timelines included in project plans.</w:t>
      </w:r>
    </w:p>
    <w:p w14:paraId="162ADFD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Contractual clauses or MOUs with community partners outlining commitments and accountability.</w:t>
      </w:r>
    </w:p>
    <w:p w14:paraId="05D9572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KPI reports demonstrating progress on benefit delivery and harm reduction (service access metrics, reduced complaint rates).</w:t>
      </w:r>
    </w:p>
    <w:p w14:paraId="7DF1412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Evidence of completed commitments (e.g., improved access features deployed, published transparency reports).</w:t>
      </w:r>
    </w:p>
    <w:p w14:paraId="2B5DEBD5"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4D2D22B8"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5799CC9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424B0F0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36220EA0" w14:textId="77777777" w:rsidTr="005C00A5">
        <w:tc>
          <w:tcPr>
            <w:tcW w:w="1170" w:type="dxa"/>
          </w:tcPr>
          <w:p w14:paraId="548C6CA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2A30950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24D262B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7E166FB4" w14:textId="77777777" w:rsidTr="005C00A5">
        <w:tc>
          <w:tcPr>
            <w:tcW w:w="1170" w:type="dxa"/>
          </w:tcPr>
          <w:p w14:paraId="5397EB8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MP-1.1.3</w:t>
            </w:r>
          </w:p>
        </w:tc>
        <w:tc>
          <w:tcPr>
            <w:tcW w:w="2160" w:type="dxa"/>
          </w:tcPr>
          <w:p w14:paraId="0633D7B1"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Assumptions, Risks, and TEVV Documentation</w:t>
            </w:r>
          </w:p>
        </w:tc>
        <w:tc>
          <w:tcPr>
            <w:tcW w:w="6740" w:type="dxa"/>
          </w:tcPr>
          <w:p w14:paraId="0DE64A84"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identifies and documents assumptions, limitations, and potential risks throughout the AI system’s lifecycle. Testing, evaluation, verification, and validation (TEVV) requirements and system metrics to identify, monitor, and manage associated system risks are identified.</w:t>
            </w:r>
          </w:p>
          <w:p w14:paraId="56C559AE" w14:textId="77777777" w:rsidR="00963E47" w:rsidRPr="00963E47" w:rsidRDefault="00963E47" w:rsidP="004C3837">
            <w:pPr>
              <w:keepNext/>
              <w:rPr>
                <w:rFonts w:ascii="Aptos" w:hAnsi="Aptos" w:cs="Times New Roman"/>
                <w:b/>
                <w:bCs/>
                <w:color w:val="000000"/>
                <w:sz w:val="20"/>
                <w:szCs w:val="20"/>
              </w:rPr>
            </w:pPr>
          </w:p>
          <w:p w14:paraId="6C0E5D19" w14:textId="77777777" w:rsidR="00963E47" w:rsidRPr="00963E47" w:rsidRDefault="00963E47" w:rsidP="004C3837">
            <w:pPr>
              <w:keepNext/>
              <w:rPr>
                <w:rFonts w:ascii="Aptos" w:hAnsi="Aptos" w:cs="Times New Roman"/>
                <w:b/>
                <w:bCs/>
                <w:color w:val="000000"/>
                <w:sz w:val="20"/>
                <w:szCs w:val="20"/>
              </w:rPr>
            </w:pPr>
            <w:hyperlink r:id="rId23" w:anchor="map-1-1" w:history="1">
              <w:r w:rsidRPr="00963E47">
                <w:rPr>
                  <w:rFonts w:ascii="Aptos" w:hAnsi="Aptos" w:cs="Times New Roman"/>
                  <w:color w:val="000000"/>
                  <w:sz w:val="20"/>
                  <w:szCs w:val="20"/>
                  <w:u w:val="single"/>
                </w:rPr>
                <w:t>Link to NIST AI RMF Playbook</w:t>
              </w:r>
            </w:hyperlink>
          </w:p>
        </w:tc>
      </w:tr>
    </w:tbl>
    <w:p w14:paraId="3DC854B0"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4965A700"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5BC47447"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12BD56AE" w14:textId="77777777" w:rsidTr="005C00A5">
        <w:trPr>
          <w:tblHeader/>
        </w:trPr>
        <w:tc>
          <w:tcPr>
            <w:tcW w:w="2160" w:type="dxa"/>
            <w:shd w:val="clear" w:color="auto" w:fill="CCDCDC"/>
            <w:vAlign w:val="center"/>
          </w:tcPr>
          <w:p w14:paraId="1AADBA5C"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15D32AD9"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611F8EFC"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24445652" w14:textId="77777777" w:rsidTr="005C00A5">
        <w:tc>
          <w:tcPr>
            <w:tcW w:w="2160" w:type="dxa"/>
            <w:shd w:val="clear" w:color="auto" w:fill="CCDCDC"/>
          </w:tcPr>
          <w:p w14:paraId="04B311BA"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64BBCF1B"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1405240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acknowledge that all AI systems have assumptions and limitations, and factor that knowledge into preparations for AI adoption.</w:t>
            </w:r>
          </w:p>
        </w:tc>
      </w:tr>
      <w:tr w:rsidR="00963E47" w:rsidRPr="00963E47" w14:paraId="07B96878" w14:textId="77777777" w:rsidTr="005C00A5">
        <w:tc>
          <w:tcPr>
            <w:tcW w:w="2160" w:type="dxa"/>
            <w:shd w:val="clear" w:color="auto" w:fill="CCDCDC"/>
          </w:tcPr>
          <w:p w14:paraId="6CB05497"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43AA05A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CA8184E"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minimal stage have started identifying some assumptions, limitations, and risks, but the process is not comprehensive or consistently applied throughout the AI lifecycle.</w:t>
            </w:r>
          </w:p>
        </w:tc>
      </w:tr>
      <w:tr w:rsidR="00963E47" w:rsidRPr="00963E47" w14:paraId="4DFFB624" w14:textId="77777777" w:rsidTr="005C00A5">
        <w:tc>
          <w:tcPr>
            <w:tcW w:w="2160" w:type="dxa"/>
            <w:shd w:val="clear" w:color="auto" w:fill="CCDCDC"/>
          </w:tcPr>
          <w:p w14:paraId="6EE96815"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0B4AD914"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1769A06"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have established processes for systematically identifying and documenting assumptions, limitations, and risks, including those related to TEVV and metrics, at key points in the AI lifecycle.</w:t>
            </w:r>
          </w:p>
        </w:tc>
      </w:tr>
      <w:tr w:rsidR="00963E47" w:rsidRPr="00963E47" w14:paraId="5662ED26" w14:textId="77777777" w:rsidTr="005C00A5">
        <w:tc>
          <w:tcPr>
            <w:tcW w:w="2160" w:type="dxa"/>
            <w:shd w:val="clear" w:color="auto" w:fill="CCDCDC"/>
          </w:tcPr>
          <w:p w14:paraId="65FB5460"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75E0C3C8"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AC3D8D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have integrated, automated processes for continuous assessment, verification, and validation, ensuring comprehensive risk management aligned with AI Trustworthy Principles.</w:t>
            </w:r>
          </w:p>
        </w:tc>
      </w:tr>
    </w:tbl>
    <w:p w14:paraId="2C30AF5C"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59416A2C" w14:textId="77777777" w:rsidTr="005C00A5">
        <w:tc>
          <w:tcPr>
            <w:tcW w:w="2250" w:type="dxa"/>
          </w:tcPr>
          <w:p w14:paraId="62C42D1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lastRenderedPageBreak/>
              <w:t>AI Principle</w:t>
            </w:r>
          </w:p>
        </w:tc>
        <w:tc>
          <w:tcPr>
            <w:tcW w:w="2520" w:type="dxa"/>
          </w:tcPr>
          <w:p w14:paraId="1B03C9CB"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7B6127D1"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1E6785B1" w14:textId="77777777" w:rsidTr="005C00A5">
        <w:tc>
          <w:tcPr>
            <w:tcW w:w="2250" w:type="dxa"/>
          </w:tcPr>
          <w:p w14:paraId="3D92ED8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48AF423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Undocumented Limitations and Risks</w:t>
            </w:r>
          </w:p>
        </w:tc>
        <w:tc>
          <w:tcPr>
            <w:tcW w:w="5300" w:type="dxa"/>
          </w:tcPr>
          <w:p w14:paraId="068B05BB"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assumptions, limitations, risks, and testing requirements are undocumented</w:t>
            </w:r>
          </w:p>
        </w:tc>
      </w:tr>
    </w:tbl>
    <w:p w14:paraId="048097F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452AF34"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03183AE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3978D2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Identify and document assumptions, limitations, and potential risks associated with the AI system throughout its lifecycle. This includes assumptions about data quality, model performance, and user behavior, as well as limitations in the AI system's capabilities or context applicability. </w:t>
      </w:r>
    </w:p>
    <w:p w14:paraId="780FBD1B"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0ED6A9C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Conduct a risk assessment to identify potential risks during development, testing, deployment, and use of the AI system, including testing, evaluation, verification, and validation (TEVV) and system metrics. Develop and implement risk mitigation strategies for each identified risk and monitor their effectiveness throughout the AI system's lifecycle.</w:t>
      </w:r>
    </w:p>
    <w:p w14:paraId="5C3BD93C"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7F09B77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Regularly review and update the assumptions, limitations, and risks in collaboration with relevant stakeholders as the AI system evolves and new information becomes available.</w:t>
      </w:r>
    </w:p>
    <w:p w14:paraId="32D18823"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2B606A14"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2CD2400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18F03B2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Assumptions and Limitations Register</w:t>
      </w:r>
    </w:p>
    <w:p w14:paraId="531AB18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a living register for each AI system that records documented assumptions, known limitations, boundary conditions, and accepted residual risks, reviewed and updated at key lifecycle milestones.</w:t>
      </w:r>
    </w:p>
    <w:p w14:paraId="421A01E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AC8D88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Assumptions &amp; limitations register entries tied to specific system versions with timestamps and owner names.</w:t>
      </w:r>
    </w:p>
    <w:p w14:paraId="0627C7C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 logs showing updates to assumptions/limitations after design reviews, tests, or incidents.</w:t>
      </w:r>
    </w:p>
    <w:p w14:paraId="3F27E63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Review/sign-off records from system owners, product managers, and risk/legal reviewers.</w:t>
      </w:r>
    </w:p>
    <w:p w14:paraId="78B7023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Traceability matrix linking assumptions/limitations to design documents, requirements, and test cases.</w:t>
      </w:r>
    </w:p>
    <w:p w14:paraId="1FDE3548"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AAED184"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TEVV Plan and Requirements Document</w:t>
      </w:r>
    </w:p>
    <w:p w14:paraId="0FA87DF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Produce a formal Testing, Evaluation, Verification, and Validation (TEVV) plan per system that specifies TEVV objectives, scope, test methods, acceptance criteria, datasets, metrics, test schedules, and roles/responsibilities.</w:t>
      </w:r>
    </w:p>
    <w:p w14:paraId="4DF41084"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72A77D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Approved TEVV plan documents with versioning and sign-offs from QA, ML engineering, privacy, and risk owners.</w:t>
      </w:r>
    </w:p>
    <w:p w14:paraId="23451FF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Test matrices mapping requirements/assumptions to specific TEVV activities and expected outcomes.</w:t>
      </w:r>
    </w:p>
    <w:p w14:paraId="2DE7456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Scheduled TEVV timelines and resource allocations recorded in project plans.</w:t>
      </w:r>
    </w:p>
    <w:p w14:paraId="1C5E6CF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Documented acceptance criteria that gate progression to production.</w:t>
      </w:r>
    </w:p>
    <w:p w14:paraId="6D880751"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68D8D5D"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Metric Definition and Monitoring Framework</w:t>
      </w:r>
    </w:p>
    <w:p w14:paraId="4F74E1A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Define and instrument system-specific metrics (performance, calibration, fairness, robustness, drift, privacy leakage, reliability) with thresholds, alerting rules, and dashboards to support continuous risk detection and TEVV monitoring.</w:t>
      </w:r>
    </w:p>
    <w:p w14:paraId="5201BEB3"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7FDBC9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Metric catalogue listing defined metrics, formulas, thresholds, and responsible owners.</w:t>
      </w:r>
    </w:p>
    <w:p w14:paraId="4C396F8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Monitoring dashboards and automated alert logs showing metric values, threshold breaches, and timestamps.</w:t>
      </w:r>
    </w:p>
    <w:p w14:paraId="5277A8F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Configuration records for alerting rules and escalation procedures.</w:t>
      </w:r>
    </w:p>
    <w:p w14:paraId="5399E44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Sample reports showing trend analysis and metric-driven decisions (retrain/rollback).</w:t>
      </w:r>
    </w:p>
    <w:p w14:paraId="51D805E9" w14:textId="77777777" w:rsidR="00963E47" w:rsidRPr="00963E47" w:rsidRDefault="00963E47" w:rsidP="004C3837">
      <w:pPr>
        <w:rPr>
          <w:rFonts w:ascii="Aptos" w:eastAsia="Aptos" w:hAnsi="Aptos" w:cs="Times New Roman"/>
          <w:color w:val="auto"/>
          <w:kern w:val="2"/>
          <w:sz w:val="20"/>
          <w:szCs w:val="20"/>
          <w14:ligatures w14:val="standardContextual"/>
        </w:rPr>
      </w:pPr>
    </w:p>
    <w:p w14:paraId="67678E5D"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TEVV Execution Records and Validation Artifacts</w:t>
      </w:r>
    </w:p>
    <w:p w14:paraId="0ACD7402"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Execute TEVV activities per the TEVV plan and retain validation artifacts—test datasets, scripts, execution logs, results, defect/issue tickets, and remediation evidence—that demonstrate how tests mapped to risks and acceptance criteria.</w:t>
      </w:r>
    </w:p>
    <w:p w14:paraId="06E82BA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13DE43C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Test execution reports with inputs, outputs, pass/fail results, and links to datasets and scripts.</w:t>
      </w:r>
    </w:p>
    <w:p w14:paraId="50DA50E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Issue/defect trackers documenting findings, severity, assigned owners, remediation actions, and closure evidence.</w:t>
      </w:r>
    </w:p>
    <w:p w14:paraId="625D94B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Signed validation certificates or deployment gate approvals referencing completed TEVV artifacts.</w:t>
      </w:r>
    </w:p>
    <w:p w14:paraId="3B1E12A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Reproducibility artifacts (notebooks, environment manifests, random seeds) showing tests can be rerun.</w:t>
      </w:r>
    </w:p>
    <w:p w14:paraId="0BBF88E3"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DF3209D"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Risk-Based Periodic Reassessment and TEVV Feedback Loop</w:t>
      </w:r>
    </w:p>
    <w:p w14:paraId="0337111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 a periodic reassessment process that uses TEVV results, monitoring alerts, incident analyses, and stakeholder feedback to update risk ratings, assumptions, TEVV scopes, and mitigation plans; document lessons learned and policy/process changes.</w:t>
      </w:r>
    </w:p>
    <w:p w14:paraId="7296471C"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A32F52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Periodic reassessment reports or risk register updates showing changes to risk ratings and updated mitigation plans.</w:t>
      </w:r>
    </w:p>
    <w:p w14:paraId="5FF302C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Lessons-learned or post-mortem documents linking TEVV findings to process or design changes.</w:t>
      </w:r>
    </w:p>
    <w:p w14:paraId="08BE559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TEVV plans or test cases created in response to monitoring/incident findings with approval records.</w:t>
      </w:r>
    </w:p>
    <w:p w14:paraId="08E5B49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Governance meeting minutes showing review of reassessments, resource decisions, and closure of remediation items.</w:t>
      </w:r>
    </w:p>
    <w:p w14:paraId="6F4E6DBB"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2ED48D74"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2B4371F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5578980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6257211E" w14:textId="77777777" w:rsidTr="005C00A5">
        <w:tc>
          <w:tcPr>
            <w:tcW w:w="1170" w:type="dxa"/>
          </w:tcPr>
          <w:p w14:paraId="0E6D295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0CD7146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323625DB"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6080F7F0" w14:textId="77777777" w:rsidTr="005C00A5">
        <w:tc>
          <w:tcPr>
            <w:tcW w:w="1170" w:type="dxa"/>
          </w:tcPr>
          <w:p w14:paraId="439E5E94"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MP-1.1.4</w:t>
            </w:r>
          </w:p>
        </w:tc>
        <w:tc>
          <w:tcPr>
            <w:tcW w:w="2160" w:type="dxa"/>
          </w:tcPr>
          <w:p w14:paraId="2D9F3613"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Non-AI Alternatives Evaluation</w:t>
            </w:r>
          </w:p>
        </w:tc>
        <w:tc>
          <w:tcPr>
            <w:tcW w:w="6740" w:type="dxa"/>
          </w:tcPr>
          <w:p w14:paraId="4FEA365E"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considers non-AI alternatives and documents the comparative analysis and decision rationale.</w:t>
            </w:r>
          </w:p>
          <w:p w14:paraId="67348837" w14:textId="77777777" w:rsidR="00963E47" w:rsidRPr="00963E47" w:rsidRDefault="00963E47" w:rsidP="004C3837">
            <w:pPr>
              <w:keepNext/>
              <w:rPr>
                <w:rFonts w:ascii="Aptos" w:hAnsi="Aptos" w:cs="Times New Roman"/>
                <w:b/>
                <w:bCs/>
                <w:color w:val="000000"/>
                <w:sz w:val="20"/>
                <w:szCs w:val="20"/>
              </w:rPr>
            </w:pPr>
          </w:p>
          <w:p w14:paraId="655A9E8A" w14:textId="77777777" w:rsidR="00963E47" w:rsidRPr="00963E47" w:rsidRDefault="00963E47" w:rsidP="004C3837">
            <w:pPr>
              <w:keepNext/>
              <w:rPr>
                <w:rFonts w:ascii="Aptos" w:hAnsi="Aptos" w:cs="Times New Roman"/>
                <w:b/>
                <w:bCs/>
                <w:color w:val="000000"/>
                <w:sz w:val="20"/>
                <w:szCs w:val="20"/>
              </w:rPr>
            </w:pPr>
            <w:hyperlink r:id="rId24" w:anchor="map-1-1" w:history="1">
              <w:r w:rsidRPr="00963E47">
                <w:rPr>
                  <w:rFonts w:ascii="Aptos" w:hAnsi="Aptos" w:cs="Times New Roman"/>
                  <w:color w:val="000000"/>
                  <w:sz w:val="20"/>
                  <w:szCs w:val="20"/>
                  <w:u w:val="single"/>
                </w:rPr>
                <w:t>Link to NIST AI RMF Playbook</w:t>
              </w:r>
            </w:hyperlink>
          </w:p>
        </w:tc>
      </w:tr>
    </w:tbl>
    <w:p w14:paraId="4EB489EE"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7F1C3DD5"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797D146E"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5C2B1AB2" w14:textId="77777777" w:rsidTr="005C00A5">
        <w:trPr>
          <w:tblHeader/>
        </w:trPr>
        <w:tc>
          <w:tcPr>
            <w:tcW w:w="2160" w:type="dxa"/>
            <w:shd w:val="clear" w:color="auto" w:fill="CCDCDC"/>
            <w:vAlign w:val="center"/>
          </w:tcPr>
          <w:p w14:paraId="4E85AA22"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78DCC306"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4832B3DE"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274CEF90" w14:textId="77777777" w:rsidTr="005C00A5">
        <w:tc>
          <w:tcPr>
            <w:tcW w:w="2160" w:type="dxa"/>
            <w:shd w:val="clear" w:color="auto" w:fill="CCDCDC"/>
          </w:tcPr>
          <w:p w14:paraId="7CAC10B4"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7009B4C3"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F6881EB"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acknowledge non-AI solutions may be a better fit for certain applications, and factor that knowledge into preparations for AI adoption.</w:t>
            </w:r>
          </w:p>
        </w:tc>
      </w:tr>
      <w:tr w:rsidR="00963E47" w:rsidRPr="00963E47" w14:paraId="1309A76E" w14:textId="77777777" w:rsidTr="005C00A5">
        <w:tc>
          <w:tcPr>
            <w:tcW w:w="2160" w:type="dxa"/>
            <w:shd w:val="clear" w:color="auto" w:fill="CCDCDC"/>
          </w:tcPr>
          <w:p w14:paraId="4D8F1CF6"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0656E54F"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EA7B64E"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minimal stage establish more formal documentation of alternatives and decision rationale to support transparency.</w:t>
            </w:r>
          </w:p>
        </w:tc>
      </w:tr>
      <w:tr w:rsidR="00963E47" w:rsidRPr="00963E47" w14:paraId="1FBB2CB2" w14:textId="77777777" w:rsidTr="005C00A5">
        <w:tc>
          <w:tcPr>
            <w:tcW w:w="2160" w:type="dxa"/>
            <w:shd w:val="clear" w:color="auto" w:fill="CCDCDC"/>
          </w:tcPr>
          <w:p w14:paraId="7468D94F"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7565AE4C"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8DC8A86"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expand the analysis process to include comprehensive evaluations and systematic comparisons as AI projects become more strategic.</w:t>
            </w:r>
          </w:p>
        </w:tc>
      </w:tr>
      <w:tr w:rsidR="00963E47" w:rsidRPr="00963E47" w14:paraId="530EA105" w14:textId="77777777" w:rsidTr="005C00A5">
        <w:tc>
          <w:tcPr>
            <w:tcW w:w="2160" w:type="dxa"/>
            <w:shd w:val="clear" w:color="auto" w:fill="CCDCDC"/>
          </w:tcPr>
          <w:p w14:paraId="6AAE5F5C"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3E8D3D30"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B71427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embedded stage routinely integrate non-AI alternatives into their decision workflows, with thorough documentation and consistent review, ensuring responsible and transparent AI deployment aligned with AI Trustworthy Principles.</w:t>
            </w:r>
          </w:p>
        </w:tc>
      </w:tr>
    </w:tbl>
    <w:p w14:paraId="734430F4"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0DD61A44" w14:textId="77777777" w:rsidTr="005C00A5">
        <w:tc>
          <w:tcPr>
            <w:tcW w:w="2250" w:type="dxa"/>
          </w:tcPr>
          <w:p w14:paraId="1A16EF50"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lastRenderedPageBreak/>
              <w:t>AI Principle</w:t>
            </w:r>
          </w:p>
        </w:tc>
        <w:tc>
          <w:tcPr>
            <w:tcW w:w="2520" w:type="dxa"/>
          </w:tcPr>
          <w:p w14:paraId="7CE78E7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5A51C3EC"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79D69745" w14:textId="77777777" w:rsidTr="005C00A5">
        <w:tc>
          <w:tcPr>
            <w:tcW w:w="2250" w:type="dxa"/>
          </w:tcPr>
          <w:p w14:paraId="69BA5AE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Valid &amp; Reliable</w:t>
            </w:r>
          </w:p>
        </w:tc>
        <w:tc>
          <w:tcPr>
            <w:tcW w:w="2520" w:type="dxa"/>
          </w:tcPr>
          <w:p w14:paraId="2D3E0C3D"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Alternatives Not Considered</w:t>
            </w:r>
          </w:p>
        </w:tc>
        <w:tc>
          <w:tcPr>
            <w:tcW w:w="5300" w:type="dxa"/>
          </w:tcPr>
          <w:p w14:paraId="40683C1A"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Non-AI alternatives are not considered or documented</w:t>
            </w:r>
          </w:p>
        </w:tc>
      </w:tr>
    </w:tbl>
    <w:p w14:paraId="38762C80"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895FCD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1D11DC3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139D31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Evaluate non-AI alternatives to the proposed AI system to determine if they provide more valid outcomes, considering options such as traditional rule-based systems, human decision-making processes, or other non-AI technologies. </w:t>
      </w:r>
    </w:p>
    <w:p w14:paraId="3264F506"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6618B9D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Conduct a comparative review of the AI system and its alternatives, using established criteria to assess factors such as accuracy, fairness, transparency, and accountability.</w:t>
      </w:r>
    </w:p>
    <w:p w14:paraId="5D9DBAE7"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0718154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Document the results of this review, including the rationale for selecting the AI system, and communicate this information to relevant stakeholders. Regularly update the comparative review in collaboration with stakeholders as new information becomes available or the AI system evolves.</w:t>
      </w:r>
    </w:p>
    <w:p w14:paraId="41F5D53C"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0F02235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60133B9D"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CE2E2E8"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Alternatives Analysis and Decision Rationale Document</w:t>
      </w:r>
    </w:p>
    <w:p w14:paraId="0727B53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Require formal documentation of non-AI and AI alternatives during project initiation, including criteria such as cost, complexity, accuracy, explainability, and risk, with explicit comparison and decision justifications.</w:t>
      </w:r>
    </w:p>
    <w:p w14:paraId="195F33F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459DE7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Completed alternatives analysis reports comparing AI and non-AI options with documented criteria and scoring.</w:t>
      </w:r>
    </w:p>
    <w:p w14:paraId="36B8D44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Decision rationale memos signed off by project sponsors, risk owners, and relevant stakeholders outlining selected options and reasoning.</w:t>
      </w:r>
    </w:p>
    <w:p w14:paraId="6BB549B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Supporting evidence such as cost estimates, performance benchmarks, and stakeholder input inform the analysis.</w:t>
      </w:r>
    </w:p>
    <w:p w14:paraId="24D8DC3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Version-controlled documents including updates when project scope or options change.</w:t>
      </w:r>
    </w:p>
    <w:p w14:paraId="2E855724"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C6CD126"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Alternative Options Review Workflow</w:t>
      </w:r>
    </w:p>
    <w:p w14:paraId="05A08D2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 a structured review process involving cross-functional stakeholders (e.g., technical, legal, business) to evaluate and approve or reject the use of AI versus non-AI options, with documented approval records.</w:t>
      </w:r>
    </w:p>
    <w:p w14:paraId="7B54C02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D5D6D7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 and approval checklists with documented deliberations during project initiation stages.</w:t>
      </w:r>
    </w:p>
    <w:p w14:paraId="043D567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Meeting minutes and sign-offs from stakeholders endorsing the chosen approach.</w:t>
      </w:r>
    </w:p>
    <w:p w14:paraId="402A937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 of dissenting opinions or alternative considerations that influenced the decision.</w:t>
      </w:r>
    </w:p>
    <w:p w14:paraId="3C67B7E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Action logs tracking follow-up on alternative evaluations or re-assessments when project scope evolves.</w:t>
      </w:r>
    </w:p>
    <w:p w14:paraId="720644C5"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5893A71"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Documented Criteria for AI Adoption</w:t>
      </w:r>
    </w:p>
    <w:p w14:paraId="2C93EB1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Define and document explicit criteria for considering AI, including use-case appropriateness, transparency, data availability, risk levels, and alignment with organizational values; review criteria during assessments.</w:t>
      </w:r>
    </w:p>
    <w:p w14:paraId="41AE12A4"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E0DF62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Criteria checklist incorporated into project charters or proposals.</w:t>
      </w:r>
    </w:p>
    <w:p w14:paraId="08A8B7B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or standard referencing criteria for AI vs. non-AI decision-making.</w:t>
      </w:r>
    </w:p>
    <w:p w14:paraId="4B9DC6B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or briefing materials emphasizing the importance of comparing alternatives.</w:t>
      </w:r>
    </w:p>
    <w:p w14:paraId="7EDE553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review sessions verifying criteria application in project assessments.</w:t>
      </w:r>
    </w:p>
    <w:p w14:paraId="32790CC8" w14:textId="77777777" w:rsidR="00963E47" w:rsidRPr="00963E47" w:rsidRDefault="00963E47" w:rsidP="004C3837">
      <w:pPr>
        <w:rPr>
          <w:rFonts w:ascii="Aptos" w:eastAsia="Aptos" w:hAnsi="Aptos" w:cs="Times New Roman"/>
          <w:color w:val="auto"/>
          <w:kern w:val="2"/>
          <w:sz w:val="20"/>
          <w:szCs w:val="20"/>
          <w14:ligatures w14:val="standardContextual"/>
        </w:rPr>
      </w:pPr>
    </w:p>
    <w:p w14:paraId="68EC25CD"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Comparative Evaluation Framework</w:t>
      </w:r>
    </w:p>
    <w:p w14:paraId="46731EC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Use a standardized framework or scoring model to evaluate alternatives systematically, capturing quantitative and qualitative factors, and documenting the resulting scores and rationale for AI adoption.</w:t>
      </w:r>
    </w:p>
    <w:p w14:paraId="4971D64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Examples of Effective Evidence:</w:t>
      </w:r>
      <w:r w:rsidRPr="00963E47">
        <w:rPr>
          <w:rFonts w:ascii="Aptos" w:eastAsia="Aptos" w:hAnsi="Aptos" w:cs="Times New Roman"/>
          <w:color w:val="auto"/>
          <w:kern w:val="2"/>
          <w:sz w:val="20"/>
          <w:szCs w:val="20"/>
          <w14:ligatures w14:val="standardContextual"/>
        </w:rPr>
        <w:t xml:space="preserve"> </w:t>
      </w:r>
    </w:p>
    <w:p w14:paraId="2F36049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Completed evaluation matrices with scores, weights, and justifications for each criterion.</w:t>
      </w:r>
    </w:p>
    <w:p w14:paraId="4659C69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review reports analyzing comparisons and highlighting key decision drivers.</w:t>
      </w:r>
    </w:p>
    <w:p w14:paraId="7D23F36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Summaries or dashboards presenting the comparative analysis outcomes.</w:t>
      </w:r>
    </w:p>
    <w:p w14:paraId="673EB0B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revisions or sensitivity analyses demonstrating robustness of the choice.</w:t>
      </w:r>
    </w:p>
    <w:p w14:paraId="6B0ED3D1" w14:textId="77777777" w:rsidR="00963E47" w:rsidRPr="00963E47" w:rsidRDefault="00963E47" w:rsidP="004C3837">
      <w:pPr>
        <w:rPr>
          <w:rFonts w:ascii="Aptos" w:eastAsia="Aptos" w:hAnsi="Aptos" w:cs="Times New Roman"/>
          <w:color w:val="auto"/>
          <w:kern w:val="2"/>
          <w:sz w:val="20"/>
          <w:szCs w:val="20"/>
          <w14:ligatures w14:val="standardContextual"/>
        </w:rPr>
      </w:pPr>
    </w:p>
    <w:p w14:paraId="32E0E99E"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Post-Decision Review and Justification Maintenance</w:t>
      </w:r>
    </w:p>
    <w:p w14:paraId="796F336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Conduct periodic reviews of past decisions comparing actual outcomes with the initial analysis, updating justification documentation to reflect lessons learned, and ensuring transparency and accountability.</w:t>
      </w:r>
    </w:p>
    <w:p w14:paraId="3A14E56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EB2076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 reports analyzing decision outcomes versus initial rationale.</w:t>
      </w:r>
    </w:p>
    <w:p w14:paraId="1ED3940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decision records capturing lessons learned, arising risks, or changes in organizational priorities.</w:t>
      </w:r>
    </w:p>
    <w:p w14:paraId="35E18EB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feedback and audit logs confirming review effectiveness.</w:t>
      </w:r>
    </w:p>
    <w:p w14:paraId="292C6CE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Website or internal repository providing accessible history of AI vs. alternative decisions for accountability.</w:t>
      </w:r>
    </w:p>
    <w:p w14:paraId="285AA7C5"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3" w:name="_Toc221016942"/>
      <w:r w:rsidRPr="00963E47">
        <w:rPr>
          <w:rFonts w:ascii="Aptos" w:eastAsia="Aptos" w:hAnsi="Aptos" w:cs="Times New Roman"/>
          <w:b/>
          <w:bCs/>
          <w:noProof/>
          <w:color w:val="35256B"/>
          <w:kern w:val="2"/>
          <w:sz w:val="24"/>
          <w14:ligatures w14:val="standardContextual"/>
        </w:rPr>
        <w:t>MAP / Understanding the Operating Context / Bolstering Cross-Functional Perspectives on the Operating Context</w:t>
      </w:r>
      <w:bookmarkEnd w:id="13"/>
      <w:r w:rsidRPr="00963E47">
        <w:rPr>
          <w:rFonts w:ascii="Aptos" w:eastAsia="Aptos" w:hAnsi="Aptos" w:cs="Times New Roman"/>
          <w:b/>
          <w:bCs/>
          <w:noProof/>
          <w:color w:val="35256B"/>
          <w:kern w:val="2"/>
          <w:sz w:val="24"/>
          <w14:ligatures w14:val="standardContextual"/>
        </w:rPr>
        <w:t xml:space="preserve"> </w:t>
      </w:r>
    </w:p>
    <w:p w14:paraId="38E2FFD7"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777DBBA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2D962DF3"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3013765E" w14:textId="77777777" w:rsidTr="005C00A5">
        <w:tc>
          <w:tcPr>
            <w:tcW w:w="1170" w:type="dxa"/>
          </w:tcPr>
          <w:p w14:paraId="756D830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0549069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5D8E1DA0"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36130078" w14:textId="77777777" w:rsidTr="005C00A5">
        <w:tc>
          <w:tcPr>
            <w:tcW w:w="1170" w:type="dxa"/>
          </w:tcPr>
          <w:p w14:paraId="75B0B58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MP-1.2.1</w:t>
            </w:r>
          </w:p>
        </w:tc>
        <w:tc>
          <w:tcPr>
            <w:tcW w:w="2160" w:type="dxa"/>
          </w:tcPr>
          <w:p w14:paraId="17321EB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Multidisciplinary AI Impact Teams</w:t>
            </w:r>
          </w:p>
        </w:tc>
        <w:tc>
          <w:tcPr>
            <w:tcW w:w="6740" w:type="dxa"/>
          </w:tcPr>
          <w:p w14:paraId="78D2392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recruits, supports, and facilitates documented collaboration among multidisciplinary teams throughout the AI system lifecycle (from problem formulation to monitoring). This enhances comprehensive risk analysis, bias mitigation, and thorough consideration of potential impacts.</w:t>
            </w:r>
          </w:p>
          <w:p w14:paraId="33E7C771" w14:textId="77777777" w:rsidR="00963E47" w:rsidRPr="00963E47" w:rsidRDefault="00963E47" w:rsidP="004C3837">
            <w:pPr>
              <w:keepNext/>
              <w:rPr>
                <w:rFonts w:ascii="Aptos" w:hAnsi="Aptos" w:cs="Times New Roman"/>
                <w:b/>
                <w:bCs/>
                <w:color w:val="000000"/>
                <w:sz w:val="20"/>
                <w:szCs w:val="20"/>
              </w:rPr>
            </w:pPr>
          </w:p>
          <w:p w14:paraId="5DDB031B" w14:textId="77777777" w:rsidR="00963E47" w:rsidRPr="00963E47" w:rsidRDefault="00963E47" w:rsidP="004C3837">
            <w:pPr>
              <w:keepNext/>
              <w:rPr>
                <w:rFonts w:ascii="Aptos" w:hAnsi="Aptos" w:cs="Times New Roman"/>
                <w:b/>
                <w:bCs/>
                <w:color w:val="000000"/>
                <w:sz w:val="20"/>
                <w:szCs w:val="20"/>
              </w:rPr>
            </w:pPr>
            <w:hyperlink r:id="rId25" w:anchor="map-1-2" w:history="1">
              <w:r w:rsidRPr="00963E47">
                <w:rPr>
                  <w:rFonts w:ascii="Aptos" w:hAnsi="Aptos" w:cs="Times New Roman"/>
                  <w:color w:val="000000"/>
                  <w:sz w:val="20"/>
                  <w:szCs w:val="20"/>
                  <w:u w:val="single"/>
                </w:rPr>
                <w:t>Link to NIST AI RMF Playbook</w:t>
              </w:r>
            </w:hyperlink>
          </w:p>
        </w:tc>
      </w:tr>
    </w:tbl>
    <w:p w14:paraId="1205D762"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052491A3"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66F3D52E"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0295941B" w14:textId="77777777" w:rsidTr="005C00A5">
        <w:trPr>
          <w:tblHeader/>
        </w:trPr>
        <w:tc>
          <w:tcPr>
            <w:tcW w:w="2160" w:type="dxa"/>
            <w:shd w:val="clear" w:color="auto" w:fill="CCDCDC"/>
            <w:vAlign w:val="center"/>
          </w:tcPr>
          <w:p w14:paraId="3346440B"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29AD16EA"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7054DC55"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5F7E0506" w14:textId="77777777" w:rsidTr="005C00A5">
        <w:tc>
          <w:tcPr>
            <w:tcW w:w="2160" w:type="dxa"/>
            <w:shd w:val="clear" w:color="auto" w:fill="CCDCDC"/>
          </w:tcPr>
          <w:p w14:paraId="3F5F8096"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4DD4DDD9"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7A4FB92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initial stage begin to recognize the importance of multidisciplinary teams and make initial efforts to recruit multidisciplinary members.</w:t>
            </w:r>
          </w:p>
        </w:tc>
      </w:tr>
      <w:tr w:rsidR="00963E47" w:rsidRPr="00963E47" w14:paraId="2383C01C" w14:textId="77777777" w:rsidTr="005C00A5">
        <w:tc>
          <w:tcPr>
            <w:tcW w:w="2160" w:type="dxa"/>
            <w:shd w:val="clear" w:color="auto" w:fill="CCDCDC"/>
          </w:tcPr>
          <w:p w14:paraId="00938F86"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37F5C113"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9FCD4FC"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recognize the importance of different perspectives and begin forming multidisciplinary teams, although team composition may not yet reflect the full range of necessary expertise.</w:t>
            </w:r>
          </w:p>
        </w:tc>
      </w:tr>
      <w:tr w:rsidR="00963E47" w:rsidRPr="00963E47" w14:paraId="5832D2CF" w14:textId="77777777" w:rsidTr="005C00A5">
        <w:tc>
          <w:tcPr>
            <w:tcW w:w="2160" w:type="dxa"/>
            <w:shd w:val="clear" w:color="auto" w:fill="CCDCDC"/>
          </w:tcPr>
          <w:p w14:paraId="106DAF9E"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5AF6F1C6"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EA62DAB"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have well-defined processes for establishing multidisciplinary teams with a wide range of demographics, disciplines, experiences, and expertise to thoroughly inform AI system context and impacts.</w:t>
            </w:r>
          </w:p>
        </w:tc>
      </w:tr>
      <w:tr w:rsidR="00963E47" w:rsidRPr="00963E47" w14:paraId="7131D4F1" w14:textId="77777777" w:rsidTr="005C00A5">
        <w:tc>
          <w:tcPr>
            <w:tcW w:w="2160" w:type="dxa"/>
            <w:shd w:val="clear" w:color="auto" w:fill="CCDCDC"/>
          </w:tcPr>
          <w:p w14:paraId="30CE394D"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7278FA3D"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624EA0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systematically integrate multidisciplinary teams into ongoing AI risk analysis processes, with structured support and continuous improvement, ensuring responsible AI aligned with AI Trustworthy Principles.</w:t>
            </w:r>
          </w:p>
        </w:tc>
      </w:tr>
    </w:tbl>
    <w:p w14:paraId="1FC324AD"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4AF0F40F" w14:textId="77777777" w:rsidTr="005C00A5">
        <w:tc>
          <w:tcPr>
            <w:tcW w:w="2250" w:type="dxa"/>
          </w:tcPr>
          <w:p w14:paraId="1C62D5E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lastRenderedPageBreak/>
              <w:t>AI Principle</w:t>
            </w:r>
          </w:p>
        </w:tc>
        <w:tc>
          <w:tcPr>
            <w:tcW w:w="2520" w:type="dxa"/>
          </w:tcPr>
          <w:p w14:paraId="16B46BE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229BB810"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739D32D6" w14:textId="77777777" w:rsidTr="005C00A5">
        <w:tc>
          <w:tcPr>
            <w:tcW w:w="2250" w:type="dxa"/>
          </w:tcPr>
          <w:p w14:paraId="18CFD0C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Fair</w:t>
            </w:r>
          </w:p>
        </w:tc>
        <w:tc>
          <w:tcPr>
            <w:tcW w:w="2520" w:type="dxa"/>
          </w:tcPr>
          <w:p w14:paraId="7788EFED"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Ineffective AI Teams or Collaboration</w:t>
            </w:r>
          </w:p>
        </w:tc>
        <w:tc>
          <w:tcPr>
            <w:tcW w:w="5300" w:type="dxa"/>
          </w:tcPr>
          <w:p w14:paraId="5B69598C"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Teams are not multidisciplinary, are not effectively supported, or collaboration across disciplines is undocumented or inconsistently practiced</w:t>
            </w:r>
          </w:p>
        </w:tc>
      </w:tr>
    </w:tbl>
    <w:p w14:paraId="70B439E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D1EE814"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35BA1CE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FF3E1B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Form and support multidisciplinary teams with different demographics, disciplines, and expertise (e.g., engineering, legal, external stakeholders) to ensure broad perspectives that reduce risk blind spots and thoroughly consider biases and impacts. Provide these teams with necessary resources and foster effective, documented collaboration throughout the AI system lifecycle, from problem formulation to monitoring.</w:t>
      </w:r>
    </w:p>
    <w:p w14:paraId="0A275033"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213C6DC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Prioritize establishing clear communication channels and collaboration platforms, encouraging open dialogue and psychological safety. Ensure that insights and recommendations from these collaborative efforts are carefully documented and incorporated into the AI system's design, development, and deployment. Regularly review team composition to address gaps in expertise or perspectives, and continuously monitor the effectiveness of multidisciplinary collaboration, making adjustments as needed.</w:t>
      </w:r>
    </w:p>
    <w:p w14:paraId="264C1614"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4FF7CC3D"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70632B3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77E65E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Policy for Multidisciplinary AI Teams</w:t>
      </w:r>
    </w:p>
    <w:p w14:paraId="371919B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and communicate a formal policy emphasizing recruitment of multidisciplinary team members across demographics, disciplines, and expertise areas involved in AI projects, with clear targets and accountability measures.</w:t>
      </w:r>
    </w:p>
    <w:p w14:paraId="58FCCC3C"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534079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documentation with specific goals for multidisciplinary team composition.</w:t>
      </w:r>
    </w:p>
    <w:p w14:paraId="6813237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Recruitment strategies and outreach programs targeting multidisciplinary groups and varied disciplines.</w:t>
      </w:r>
    </w:p>
    <w:p w14:paraId="414535C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Workforce reports and hiring records demonstrating progress toward multidisciplinary teams.</w:t>
      </w:r>
    </w:p>
    <w:p w14:paraId="172CABB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Performance reviews or accountability reports linking objectives to team development.</w:t>
      </w:r>
    </w:p>
    <w:p w14:paraId="27C493ED" w14:textId="77777777" w:rsidR="00963E47" w:rsidRPr="00963E47" w:rsidRDefault="00963E47" w:rsidP="004C3837">
      <w:pPr>
        <w:rPr>
          <w:rFonts w:ascii="Aptos" w:eastAsia="Aptos" w:hAnsi="Aptos" w:cs="Times New Roman"/>
          <w:color w:val="auto"/>
          <w:kern w:val="2"/>
          <w:sz w:val="20"/>
          <w:szCs w:val="20"/>
          <w14:ligatures w14:val="standardContextual"/>
        </w:rPr>
      </w:pPr>
    </w:p>
    <w:p w14:paraId="3B6BBC05"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Multidisciplinary Team Formation and Roles Documentation</w:t>
      </w:r>
    </w:p>
    <w:p w14:paraId="2F18EC4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Mandate the formation of multidisciplinary teams for AI initiatives, and maintain documentation outlining team member roles, expertise areas, and contributions to risk and impact assessments at each lifecycle stage.</w:t>
      </w:r>
    </w:p>
    <w:p w14:paraId="6A2C245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A7A4C2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Team composition records, including bios highlighting differing backgrounds, demographics, stakeholder perspectives.</w:t>
      </w:r>
    </w:p>
    <w:p w14:paraId="00C889B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Roles and responsibilities matrices documenting expertise areas aligned to risk and bias analysis activities.</w:t>
      </w:r>
    </w:p>
    <w:p w14:paraId="28586D5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Meeting minutes and collaboration logs showing multidisciplinary team participation in reviews and risk assessments.</w:t>
      </w:r>
    </w:p>
    <w:p w14:paraId="6366F14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Team formation approval records tied to project initiation documentation.</w:t>
      </w:r>
    </w:p>
    <w:p w14:paraId="7F440EBE"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0F6899A"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Support Mechanisms for Multidisciplinary Teams</w:t>
      </w:r>
    </w:p>
    <w:p w14:paraId="3D09DF7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Provide ongoing support, training, and resources (e.g., bias awareness training, competency, stakeholder engagement workshops) to ensure team members can effectively identify and address biases and impacts.</w:t>
      </w:r>
    </w:p>
    <w:p w14:paraId="3ECDCDB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858B86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completion certificates and participation logs for bias-awareness programs.</w:t>
      </w:r>
    </w:p>
    <w:p w14:paraId="7EA6E44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Resource repositories (guidelines, toolkits) accessible to teams for cross-functional design and impact analysis.</w:t>
      </w:r>
    </w:p>
    <w:p w14:paraId="638FDBF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surveys indicating increased awareness and application of broad concepts.</w:t>
      </w:r>
    </w:p>
    <w:p w14:paraId="20F790A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Event records of workshops or forums fostering multidisciplinary dialogue and understanding.</w:t>
      </w:r>
    </w:p>
    <w:p w14:paraId="5474B699"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C8DEF50"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Bias and Impact Assessment Processes with multidisciplinary Inputs</w:t>
      </w:r>
    </w:p>
    <w:p w14:paraId="0C22A0D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Integrate inputs from a wide range of experts into risk and impact assessment processes, with documented analyses and mitigation strategies.</w:t>
      </w:r>
    </w:p>
    <w:p w14:paraId="2781043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1B8C717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Impact assessment reports explicitly referencing contributions from multidisciplinary stakeholders and experts.</w:t>
      </w:r>
    </w:p>
    <w:p w14:paraId="75EA1C9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engagement records, including interview transcripts, focus group summaries, and consultation logs.</w:t>
      </w:r>
    </w:p>
    <w:p w14:paraId="315729A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Sign-off records from multidisciplinary reviewers endorsing bias mitigation and impact considerations.</w:t>
      </w:r>
    </w:p>
    <w:p w14:paraId="77E5445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Documentation of actions taken to incorporate multidisciplinary perspectives into design or policy updates.</w:t>
      </w:r>
    </w:p>
    <w:p w14:paraId="317B3CDC"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FDA7E9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Continuous Monitoring and Feedback on Impact Effectiveness</w:t>
      </w:r>
    </w:p>
    <w:p w14:paraId="5C37494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Monitor the effectiveness of cross-functional efforts and impact analyses through feedback channels, regular reviews, and metrics, and adjust team composition or processes accordingly.</w:t>
      </w:r>
    </w:p>
    <w:p w14:paraId="50044F7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069540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Metrics dashboards tracking stakeholder participation and bias mitigation effectiveness.</w:t>
      </w:r>
    </w:p>
    <w:p w14:paraId="73CA966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 meeting minutes and improvement plans addressing identified gaps or biases uncovered during project lifecycle.</w:t>
      </w:r>
    </w:p>
    <w:p w14:paraId="3DF87D7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feedback and survey results regarding consideration of impacts.</w:t>
      </w:r>
    </w:p>
    <w:p w14:paraId="00F1A03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process enhancements implemented in response to impact review findings.</w:t>
      </w:r>
    </w:p>
    <w:p w14:paraId="509B0B22"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4" w:name="_Toc221016943"/>
      <w:r w:rsidRPr="00963E47">
        <w:rPr>
          <w:rFonts w:ascii="Aptos" w:eastAsia="Aptos" w:hAnsi="Aptos" w:cs="Times New Roman"/>
          <w:b/>
          <w:bCs/>
          <w:noProof/>
          <w:color w:val="35256B"/>
          <w:kern w:val="2"/>
          <w:sz w:val="24"/>
          <w14:ligatures w14:val="standardContextual"/>
        </w:rPr>
        <w:t>MAP / Understanding the Operating Context / Defining the Mission and Goals</w:t>
      </w:r>
      <w:bookmarkEnd w:id="14"/>
      <w:r w:rsidRPr="00963E47">
        <w:rPr>
          <w:rFonts w:ascii="Aptos" w:eastAsia="Aptos" w:hAnsi="Aptos" w:cs="Times New Roman"/>
          <w:b/>
          <w:bCs/>
          <w:noProof/>
          <w:color w:val="35256B"/>
          <w:kern w:val="2"/>
          <w:sz w:val="24"/>
          <w14:ligatures w14:val="standardContextual"/>
        </w:rPr>
        <w:t xml:space="preserve"> </w:t>
      </w:r>
    </w:p>
    <w:p w14:paraId="6706EBF2"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0F968AF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1D5EF13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575ED7E7" w14:textId="77777777" w:rsidTr="005C00A5">
        <w:tc>
          <w:tcPr>
            <w:tcW w:w="1170" w:type="dxa"/>
          </w:tcPr>
          <w:p w14:paraId="5E5894A2"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074AF9E6"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6261A75F"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1AED98EF" w14:textId="77777777" w:rsidTr="005C00A5">
        <w:tc>
          <w:tcPr>
            <w:tcW w:w="1170" w:type="dxa"/>
          </w:tcPr>
          <w:p w14:paraId="6C8DA47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MP-1.3.1</w:t>
            </w:r>
          </w:p>
        </w:tc>
        <w:tc>
          <w:tcPr>
            <w:tcW w:w="2160" w:type="dxa"/>
          </w:tcPr>
          <w:p w14:paraId="10EA4FA1"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Alignment with Mission and Values</w:t>
            </w:r>
          </w:p>
        </w:tc>
        <w:tc>
          <w:tcPr>
            <w:tcW w:w="6740" w:type="dxa"/>
          </w:tcPr>
          <w:p w14:paraId="07FD9F8B"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identifies and documents the AI system’s alignment and contribution to organizational mission, values, goals (including relevant goals for AI technology), and AI  Trustworthy Principles.</w:t>
            </w:r>
          </w:p>
          <w:p w14:paraId="27DE58FC" w14:textId="77777777" w:rsidR="00963E47" w:rsidRPr="00963E47" w:rsidRDefault="00963E47" w:rsidP="004C3837">
            <w:pPr>
              <w:keepNext/>
              <w:rPr>
                <w:rFonts w:ascii="Aptos" w:hAnsi="Aptos" w:cs="Times New Roman"/>
                <w:b/>
                <w:bCs/>
                <w:color w:val="000000"/>
                <w:sz w:val="20"/>
                <w:szCs w:val="20"/>
              </w:rPr>
            </w:pPr>
          </w:p>
          <w:p w14:paraId="18088BF3" w14:textId="77777777" w:rsidR="00963E47" w:rsidRPr="00963E47" w:rsidRDefault="00963E47" w:rsidP="004C3837">
            <w:pPr>
              <w:keepNext/>
              <w:rPr>
                <w:rFonts w:ascii="Aptos" w:hAnsi="Aptos" w:cs="Times New Roman"/>
                <w:b/>
                <w:bCs/>
                <w:color w:val="000000"/>
                <w:sz w:val="20"/>
                <w:szCs w:val="20"/>
              </w:rPr>
            </w:pPr>
            <w:hyperlink r:id="rId26" w:anchor="map-1-3" w:history="1">
              <w:r w:rsidRPr="00963E47">
                <w:rPr>
                  <w:rFonts w:ascii="Aptos" w:hAnsi="Aptos" w:cs="Times New Roman"/>
                  <w:color w:val="000000"/>
                  <w:sz w:val="20"/>
                  <w:szCs w:val="20"/>
                  <w:u w:val="single"/>
                </w:rPr>
                <w:t>Link to NIST AI RMF Playbook</w:t>
              </w:r>
            </w:hyperlink>
          </w:p>
        </w:tc>
      </w:tr>
    </w:tbl>
    <w:p w14:paraId="2810D062"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281704FD"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16271908"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38310508" w14:textId="77777777" w:rsidTr="005C00A5">
        <w:trPr>
          <w:tblHeader/>
        </w:trPr>
        <w:tc>
          <w:tcPr>
            <w:tcW w:w="2160" w:type="dxa"/>
            <w:shd w:val="clear" w:color="auto" w:fill="CCDCDC"/>
            <w:vAlign w:val="center"/>
          </w:tcPr>
          <w:p w14:paraId="74F80771"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6A427B73"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1386DF4B"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591D0DF8" w14:textId="77777777" w:rsidTr="005C00A5">
        <w:tc>
          <w:tcPr>
            <w:tcW w:w="2160" w:type="dxa"/>
            <w:shd w:val="clear" w:color="auto" w:fill="CCDCDC"/>
          </w:tcPr>
          <w:p w14:paraId="4B9AD401"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0DC40AE0"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4E1E50E"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are starting to consider how AI systems align with and contribute to their overall mission and goals, but the process is likely informal and high-level.</w:t>
            </w:r>
          </w:p>
        </w:tc>
      </w:tr>
      <w:tr w:rsidR="00963E47" w:rsidRPr="00963E47" w14:paraId="309C7F12" w14:textId="77777777" w:rsidTr="005C00A5">
        <w:tc>
          <w:tcPr>
            <w:tcW w:w="2160" w:type="dxa"/>
            <w:shd w:val="clear" w:color="auto" w:fill="CCDCDC"/>
          </w:tcPr>
          <w:p w14:paraId="4AADD2A9"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097788FF"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9CF4BD1"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minimal stage have begun documenting the AI system's alignment with mission, values, goals, and principles, but the process may not be comprehensive or consistently applied.</w:t>
            </w:r>
          </w:p>
        </w:tc>
      </w:tr>
      <w:tr w:rsidR="00963E47" w:rsidRPr="00963E47" w14:paraId="5DC051B6" w14:textId="77777777" w:rsidTr="005C00A5">
        <w:tc>
          <w:tcPr>
            <w:tcW w:w="2160" w:type="dxa"/>
            <w:shd w:val="clear" w:color="auto" w:fill="CCDCDC"/>
          </w:tcPr>
          <w:p w14:paraId="7EC3AFD3"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343D2D23"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9F95861"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have established clear processes for thoroughly assessing and documenting how each AI system aligns with and contributes to the organizational mission, values, goals, and AI  Trustworthy Principles.</w:t>
            </w:r>
          </w:p>
        </w:tc>
      </w:tr>
      <w:tr w:rsidR="00963E47" w:rsidRPr="00963E47" w14:paraId="1EFA8CFB" w14:textId="77777777" w:rsidTr="005C00A5">
        <w:tc>
          <w:tcPr>
            <w:tcW w:w="2160" w:type="dxa"/>
            <w:shd w:val="clear" w:color="auto" w:fill="CCDCDC"/>
          </w:tcPr>
          <w:p w14:paraId="360B901B"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74A41F3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74F79A5"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embedded stage systematically embed this alignment into their lifecycle management, with automated tracking and continuous updates ensuring responsible AI development aligned with AI Trustworthy Principles.</w:t>
            </w:r>
          </w:p>
        </w:tc>
      </w:tr>
    </w:tbl>
    <w:p w14:paraId="0CFF2B17"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1E0E18ED" w14:textId="77777777" w:rsidTr="005C00A5">
        <w:tc>
          <w:tcPr>
            <w:tcW w:w="2250" w:type="dxa"/>
          </w:tcPr>
          <w:p w14:paraId="3424C3C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lastRenderedPageBreak/>
              <w:t>AI Principle</w:t>
            </w:r>
          </w:p>
        </w:tc>
        <w:tc>
          <w:tcPr>
            <w:tcW w:w="2520" w:type="dxa"/>
          </w:tcPr>
          <w:p w14:paraId="0177B2D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68158EA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5EF287FA" w14:textId="77777777" w:rsidTr="005C00A5">
        <w:tc>
          <w:tcPr>
            <w:tcW w:w="2250" w:type="dxa"/>
          </w:tcPr>
          <w:p w14:paraId="1DDEF7E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0DD8BDB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System Misalignment</w:t>
            </w:r>
          </w:p>
        </w:tc>
        <w:tc>
          <w:tcPr>
            <w:tcW w:w="5300" w:type="dxa"/>
          </w:tcPr>
          <w:p w14:paraId="4EF3182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system alignment with mission, values, and goals is undocumented or lacking</w:t>
            </w:r>
          </w:p>
        </w:tc>
      </w:tr>
    </w:tbl>
    <w:p w14:paraId="19576CA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9F0B6B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329E2EB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79742BE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To determine that the AI system aligns with and contributes to the organization's mission, values, goals, and AI  Trustworthy Principles, clearly document these elements. Engage with senior leadership and relevant stakeholders to gain a thorough understanding of the organization's overall direction and priorities. </w:t>
      </w:r>
    </w:p>
    <w:p w14:paraId="78C61B6E"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6317405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Review existing documentation, such as mission statements, strategic plans, and value statements to identify key themes and objectives. Conduct workshops or interviews with individuals across the organization to gather additional perspectives on how the AI system can support and advance the organization's mission and goals.</w:t>
      </w:r>
    </w:p>
    <w:p w14:paraId="0E0D6EA2"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3459E27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Document the specific ways in which the AI system aligns with and contributes to these elements, ensuring this documentation is easily accessible to relevant parties involved in the AI system's development and deployment. Regularly review and update this documentation as the organization's mission and goals evolve over time to maintain its relevance and accuracy.</w:t>
      </w:r>
    </w:p>
    <w:p w14:paraId="7751D01C"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18A9BD0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42C697B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7B7AC03"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Establishment of Documentation Standards for AI System Alignment</w:t>
      </w:r>
    </w:p>
    <w:p w14:paraId="3C4EC91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 standards and templates for documenting how AI systems align with the organization’s mission, values, strategic goals, and AI Trustworthy Principles.</w:t>
      </w:r>
    </w:p>
    <w:p w14:paraId="3584E3E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626D98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Standardized templates capturing alignment with mission, values, and principles.</w:t>
      </w:r>
    </w:p>
    <w:p w14:paraId="5B73B8A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Guideline documents outlining documentation requirements.</w:t>
      </w:r>
    </w:p>
    <w:p w14:paraId="017FC9B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materials for teams responsible for alignment documentation.</w:t>
      </w:r>
    </w:p>
    <w:p w14:paraId="1E6B472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Version-controlled repository of documented AI system alignments.</w:t>
      </w:r>
    </w:p>
    <w:p w14:paraId="149587CD"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787804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Systematic Identification and Documentation of Alignment</w:t>
      </w:r>
    </w:p>
    <w:p w14:paraId="3450F9D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Conduct assessments to determine how each AI system supports or enhances organizational objectives, values, and AI Trustworthy Principles, then document these findings.</w:t>
      </w:r>
    </w:p>
    <w:p w14:paraId="218DD818"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9A7D78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Alignment reports correlating AI features with organizational goals and values.</w:t>
      </w:r>
    </w:p>
    <w:p w14:paraId="1704227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stakeholder consultations assessing alignment.</w:t>
      </w:r>
    </w:p>
    <w:p w14:paraId="14AB39E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Evidence of review and approval of alignment documentation.</w:t>
      </w:r>
    </w:p>
    <w:p w14:paraId="07D9F4E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 logs when systems’ alignment status or contribution is updated.</w:t>
      </w:r>
    </w:p>
    <w:p w14:paraId="4F94A6B8"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4CCBD29"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Integration of AI Contribution into Strategic Planning</w:t>
      </w:r>
    </w:p>
    <w:p w14:paraId="0D8178F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Incorporate AI system alignment and contribution information into strategic planning, oversight, and decision-making processes.</w:t>
      </w:r>
    </w:p>
    <w:p w14:paraId="3B0AF9A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F18EFB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Strategic planning documents referencing AI contribution assessments.</w:t>
      </w:r>
    </w:p>
    <w:p w14:paraId="6AB0E3B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Minutes from strategic review meetings discussing AI alignment.</w:t>
      </w:r>
    </w:p>
    <w:p w14:paraId="1F1DECE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Reports linking AI system performance or impact to organizational goals.</w:t>
      </w:r>
    </w:p>
    <w:p w14:paraId="5A17386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Dashboards illustrating AI contribution to key metrics aligned with AI Trustworthy Principles.</w:t>
      </w:r>
    </w:p>
    <w:p w14:paraId="47DCC939"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C2073CF"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Ongoing Monitoring and Updates of Alignment Documentation</w:t>
      </w:r>
    </w:p>
    <w:p w14:paraId="0407BFD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Regularly review and update documentation to reflect changes in AI systems or organizational priorities, ensuring continued alignment.</w:t>
      </w:r>
    </w:p>
    <w:p w14:paraId="385672E4"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Examples of Effective Evidence:</w:t>
      </w:r>
      <w:r w:rsidRPr="00963E47">
        <w:rPr>
          <w:rFonts w:ascii="Aptos" w:eastAsia="Aptos" w:hAnsi="Aptos" w:cs="Times New Roman"/>
          <w:color w:val="auto"/>
          <w:kern w:val="2"/>
          <w:sz w:val="20"/>
          <w:szCs w:val="20"/>
          <w14:ligatures w14:val="standardContextual"/>
        </w:rPr>
        <w:t xml:space="preserve"> </w:t>
      </w:r>
    </w:p>
    <w:p w14:paraId="678276F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Periodic review schedules and logs.</w:t>
      </w:r>
    </w:p>
    <w:p w14:paraId="131B797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documentation reflecting recent system modifications or strategic shifts.</w:t>
      </w:r>
    </w:p>
    <w:p w14:paraId="200E9A0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or audit reports identifying gaps or misalignments.</w:t>
      </w:r>
    </w:p>
    <w:p w14:paraId="6B36C372"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re-assessment after major system changes or organizational initiatives.</w:t>
      </w:r>
    </w:p>
    <w:p w14:paraId="2EF4D743" w14:textId="77777777" w:rsidR="00963E47" w:rsidRPr="00963E47" w:rsidRDefault="00963E47" w:rsidP="004C3837">
      <w:pPr>
        <w:rPr>
          <w:rFonts w:ascii="Aptos" w:eastAsia="Aptos" w:hAnsi="Aptos" w:cs="Times New Roman"/>
          <w:color w:val="auto"/>
          <w:kern w:val="2"/>
          <w:sz w:val="20"/>
          <w:szCs w:val="20"/>
          <w14:ligatures w14:val="standardContextual"/>
        </w:rPr>
      </w:pPr>
    </w:p>
    <w:p w14:paraId="01F30015"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Transparency and Communication of AI System Alignment</w:t>
      </w:r>
    </w:p>
    <w:p w14:paraId="6256D7D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Communicate AI system alignment and contribution to relevant stakeholders, reinforcing transparency and trustworthiness.</w:t>
      </w:r>
    </w:p>
    <w:p w14:paraId="38A2D4AF"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9C600E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Internal reports or dashboards sharing alignment status with leadership.</w:t>
      </w:r>
    </w:p>
    <w:p w14:paraId="1C1EB5F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Communication plans or newsletters explaining AI contribution to organizational goals.</w:t>
      </w:r>
    </w:p>
    <w:p w14:paraId="613819E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feedback on transparency and understanding of AI role.</w:t>
      </w:r>
    </w:p>
    <w:p w14:paraId="404683D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sessions or workshops on organizational principles and AI alignment.</w:t>
      </w:r>
    </w:p>
    <w:p w14:paraId="6C3CAF89"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634ECF80"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5" w:name="_Toc221016944"/>
      <w:r w:rsidRPr="00963E47">
        <w:rPr>
          <w:rFonts w:ascii="Aptos" w:eastAsia="Aptos" w:hAnsi="Aptos" w:cs="Times New Roman"/>
          <w:b/>
          <w:bCs/>
          <w:noProof/>
          <w:color w:val="35256B"/>
          <w:kern w:val="2"/>
          <w:sz w:val="24"/>
          <w14:ligatures w14:val="standardContextual"/>
        </w:rPr>
        <w:t>MAP / Understanding the Operating Context / Defining Real-World Business Value</w:t>
      </w:r>
      <w:bookmarkEnd w:id="15"/>
      <w:r w:rsidRPr="00963E47">
        <w:rPr>
          <w:rFonts w:ascii="Aptos" w:eastAsia="Aptos" w:hAnsi="Aptos" w:cs="Times New Roman"/>
          <w:b/>
          <w:bCs/>
          <w:noProof/>
          <w:color w:val="35256B"/>
          <w:kern w:val="2"/>
          <w:sz w:val="24"/>
          <w14:ligatures w14:val="standardContextual"/>
        </w:rPr>
        <w:t xml:space="preserve"> </w:t>
      </w:r>
    </w:p>
    <w:p w14:paraId="617B4A3F"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51DC508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0C0AAF6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2666E27B" w14:textId="77777777" w:rsidTr="005C00A5">
        <w:tc>
          <w:tcPr>
            <w:tcW w:w="1170" w:type="dxa"/>
          </w:tcPr>
          <w:p w14:paraId="10F8B4A7"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30372C2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4FA5CAE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03DCCDE4" w14:textId="77777777" w:rsidTr="005C00A5">
        <w:tc>
          <w:tcPr>
            <w:tcW w:w="1170" w:type="dxa"/>
          </w:tcPr>
          <w:p w14:paraId="540B503D"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MP-1.4.1</w:t>
            </w:r>
          </w:p>
        </w:tc>
        <w:tc>
          <w:tcPr>
            <w:tcW w:w="2160" w:type="dxa"/>
          </w:tcPr>
          <w:p w14:paraId="51121FE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Business Value and Context Communication</w:t>
            </w:r>
          </w:p>
        </w:tc>
        <w:tc>
          <w:tcPr>
            <w:tcW w:w="6740" w:type="dxa"/>
          </w:tcPr>
          <w:p w14:paraId="3F5EE8C3"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clearly defines, documents, and communicates the business value, objectives, and intended context of use for each AI system to relevant stakeholders, promoting alignment with organizational goals and facilitating transparency and accountability in how the AI system supports operational success.</w:t>
            </w:r>
          </w:p>
          <w:p w14:paraId="371466BE" w14:textId="77777777" w:rsidR="00963E47" w:rsidRPr="00963E47" w:rsidRDefault="00963E47" w:rsidP="004C3837">
            <w:pPr>
              <w:keepNext/>
              <w:rPr>
                <w:rFonts w:ascii="Aptos" w:hAnsi="Aptos" w:cs="Times New Roman"/>
                <w:b/>
                <w:bCs/>
                <w:color w:val="000000"/>
                <w:sz w:val="20"/>
                <w:szCs w:val="20"/>
              </w:rPr>
            </w:pPr>
          </w:p>
          <w:p w14:paraId="24B66210" w14:textId="77777777" w:rsidR="00963E47" w:rsidRPr="00963E47" w:rsidRDefault="00963E47" w:rsidP="004C3837">
            <w:pPr>
              <w:keepNext/>
              <w:rPr>
                <w:rFonts w:ascii="Aptos" w:hAnsi="Aptos" w:cs="Times New Roman"/>
                <w:b/>
                <w:bCs/>
                <w:color w:val="000000"/>
                <w:sz w:val="20"/>
                <w:szCs w:val="20"/>
              </w:rPr>
            </w:pPr>
            <w:hyperlink r:id="rId27" w:anchor="map-1-4" w:history="1">
              <w:r w:rsidRPr="00963E47">
                <w:rPr>
                  <w:rFonts w:ascii="Aptos" w:hAnsi="Aptos" w:cs="Times New Roman"/>
                  <w:color w:val="000000"/>
                  <w:sz w:val="20"/>
                  <w:szCs w:val="20"/>
                  <w:u w:val="single"/>
                </w:rPr>
                <w:t>Link to NIST AI RMF Playbook</w:t>
              </w:r>
            </w:hyperlink>
          </w:p>
        </w:tc>
      </w:tr>
    </w:tbl>
    <w:p w14:paraId="48D361A5"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7055CB28"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265FC408"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5F67D461" w14:textId="77777777" w:rsidTr="005C00A5">
        <w:trPr>
          <w:tblHeader/>
        </w:trPr>
        <w:tc>
          <w:tcPr>
            <w:tcW w:w="2160" w:type="dxa"/>
            <w:shd w:val="clear" w:color="auto" w:fill="CCDCDC"/>
            <w:vAlign w:val="center"/>
          </w:tcPr>
          <w:p w14:paraId="42F01C2E"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1075F02C"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178B8B33"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5C3ECB99" w14:textId="77777777" w:rsidTr="005C00A5">
        <w:tc>
          <w:tcPr>
            <w:tcW w:w="2160" w:type="dxa"/>
            <w:shd w:val="clear" w:color="auto" w:fill="CCDCDC"/>
          </w:tcPr>
          <w:p w14:paraId="2D4B7790"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43369F7C"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1913F86"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begin defining and documenting the basic purpose, value, and context of each AI system.</w:t>
            </w:r>
          </w:p>
        </w:tc>
      </w:tr>
      <w:tr w:rsidR="00963E47" w:rsidRPr="00963E47" w14:paraId="156D28E0" w14:textId="77777777" w:rsidTr="005C00A5">
        <w:tc>
          <w:tcPr>
            <w:tcW w:w="2160" w:type="dxa"/>
            <w:shd w:val="clear" w:color="auto" w:fill="CCDCDC"/>
          </w:tcPr>
          <w:p w14:paraId="70159734"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075691F1"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1F297B55"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have defined and documented the business value and context of use for AI systems, but the information may not be comprehensive or consistently communicated to all relevant stakeholders.</w:t>
            </w:r>
          </w:p>
        </w:tc>
      </w:tr>
      <w:tr w:rsidR="00963E47" w:rsidRPr="00963E47" w14:paraId="70B35CDA" w14:textId="77777777" w:rsidTr="005C00A5">
        <w:tc>
          <w:tcPr>
            <w:tcW w:w="2160" w:type="dxa"/>
            <w:shd w:val="clear" w:color="auto" w:fill="CCDCDC"/>
          </w:tcPr>
          <w:p w14:paraId="17C5C74F"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197BE271"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0AABA21"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have established clear processes for thoroughly defining, documenting, and communicating the business value and context of use for each AI system to promote transparency and accountability.</w:t>
            </w:r>
          </w:p>
        </w:tc>
      </w:tr>
      <w:tr w:rsidR="00963E47" w:rsidRPr="00963E47" w14:paraId="6A1FAEDE" w14:textId="77777777" w:rsidTr="005C00A5">
        <w:tc>
          <w:tcPr>
            <w:tcW w:w="2160" w:type="dxa"/>
            <w:shd w:val="clear" w:color="auto" w:fill="CCDCDC"/>
          </w:tcPr>
          <w:p w14:paraId="2BFE015F"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4A875BD3"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5DA7DF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have automated, comprehensive processes that continuously inform stakeholders, ensuring responsible and transparent AI deployment aligned with AI Trustworthy Principles</w:t>
            </w:r>
          </w:p>
        </w:tc>
      </w:tr>
    </w:tbl>
    <w:p w14:paraId="5C846CB0"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496B4FEF" w14:textId="77777777" w:rsidTr="005C00A5">
        <w:tc>
          <w:tcPr>
            <w:tcW w:w="2250" w:type="dxa"/>
          </w:tcPr>
          <w:p w14:paraId="5F4A874F"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lastRenderedPageBreak/>
              <w:t>AI Principle</w:t>
            </w:r>
          </w:p>
        </w:tc>
        <w:tc>
          <w:tcPr>
            <w:tcW w:w="2520" w:type="dxa"/>
          </w:tcPr>
          <w:p w14:paraId="4935C6B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2F14BB8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04384FBD" w14:textId="77777777" w:rsidTr="005C00A5">
        <w:tc>
          <w:tcPr>
            <w:tcW w:w="2250" w:type="dxa"/>
          </w:tcPr>
          <w:p w14:paraId="34E66382"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05844A5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Undefined Business Value</w:t>
            </w:r>
          </w:p>
        </w:tc>
        <w:tc>
          <w:tcPr>
            <w:tcW w:w="5300" w:type="dxa"/>
          </w:tcPr>
          <w:p w14:paraId="3F24DCD3"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Business value, objectives, and context of AI systems are not clearly defined</w:t>
            </w:r>
          </w:p>
        </w:tc>
      </w:tr>
    </w:tbl>
    <w:p w14:paraId="7F57CB44"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661DE61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2410D9E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584025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To confirm that the business value, objectives, and context of use for each AI system are clearly defined, documented, and communicated, engage with relevant stakeholders—such as business owners, end-users, subject matter experts, and other interested parties—to gather multidisciplinary input and perspectives.</w:t>
      </w:r>
    </w:p>
    <w:p w14:paraId="245B2092"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56FD4DC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Conduct workshops or interviews to identify how the AI system is expected to deliver tangible business outcomes, such as increasing efficiency, reducing costs, or enhancing customer satisfaction. Clearly articulate these value propositions, ensuring they align with and support the organization’s overall goals and strategies.</w:t>
      </w:r>
    </w:p>
    <w:p w14:paraId="4E9D320B"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7F95A1A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Additionally, document the specific context of use, including the intended users, operational scenarios, constraints, and key assumptions. Make this documentation readily accessible to all relevant parties and communicate it through multiple channels, such as training sessions, user manuals, and internal communications. Regularly review and update this documentation to ensure ongoing accuracy and relevance, supporting transparency and alignment with organizational objectives.</w:t>
      </w:r>
    </w:p>
    <w:p w14:paraId="2A67F683"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7168CDE3"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5CAF768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263C714"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Development of Clear Documentation for AI Business Value, Objectives, and Context</w:t>
      </w:r>
    </w:p>
    <w:p w14:paraId="58D92B8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standardized processes and templates to define and record the intended business value, objectives, and context of use for each AI system.</w:t>
      </w:r>
    </w:p>
    <w:p w14:paraId="1E6784A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459C84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Standardized documentation templates capturing purpose, value, and use cases.</w:t>
      </w:r>
    </w:p>
    <w:p w14:paraId="03640C3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Approved records of initial and updated documentation reflecting current understanding.</w:t>
      </w:r>
    </w:p>
    <w:p w14:paraId="3034EF4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materials for teams responsible for documenting AI systems.</w:t>
      </w:r>
    </w:p>
    <w:p w14:paraId="79CC15B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Centralized repository of documented purpose and context descriptions.</w:t>
      </w:r>
    </w:p>
    <w:p w14:paraId="256ACE2D" w14:textId="77777777" w:rsidR="00963E47" w:rsidRPr="00963E47" w:rsidRDefault="00963E47" w:rsidP="004C3837">
      <w:pPr>
        <w:rPr>
          <w:rFonts w:ascii="Aptos" w:eastAsia="Aptos" w:hAnsi="Aptos" w:cs="Times New Roman"/>
          <w:color w:val="auto"/>
          <w:kern w:val="2"/>
          <w:sz w:val="20"/>
          <w:szCs w:val="20"/>
          <w14:ligatures w14:val="standardContextual"/>
        </w:rPr>
      </w:pPr>
    </w:p>
    <w:p w14:paraId="0D745803"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Communication of AI Purpose and Goals to Stakeholders</w:t>
      </w:r>
    </w:p>
    <w:p w14:paraId="43611F6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Systematically disseminate AI system purpose, business value, objectives, and context of use to all relevant stakeholders through meetings, reports, or dashboards to ensure shared understanding.</w:t>
      </w:r>
    </w:p>
    <w:p w14:paraId="7FFE10EC"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0DC268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presentation slides or reports summarizing AI purpose and objectives.</w:t>
      </w:r>
    </w:p>
    <w:p w14:paraId="28BE8EA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Internal newsletters or communication channels sharing updates.</w:t>
      </w:r>
    </w:p>
    <w:p w14:paraId="3173DB2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Access logs or views of dashboards displaying AI system descriptions.</w:t>
      </w:r>
    </w:p>
    <w:p w14:paraId="44AA9D3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Meeting minutes documenting stakeholder briefings and feedback.</w:t>
      </w:r>
    </w:p>
    <w:p w14:paraId="605E161A"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482DC75"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Alignment with Organizational Goals and Transparency</w:t>
      </w:r>
    </w:p>
    <w:p w14:paraId="7B50356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Ensure that documentation and communication explicitly link AI system objectives to broader organizational goals, promoting transparency and accountability.</w:t>
      </w:r>
    </w:p>
    <w:p w14:paraId="4F1D22B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BC94A7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Documentation linking AI objectives to strategic goals in reports or portals.</w:t>
      </w:r>
    </w:p>
    <w:p w14:paraId="643A0FA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Maps or matrices showing alignment with organizational priorities.</w:t>
      </w:r>
    </w:p>
    <w:p w14:paraId="2277F08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Audit trail of updates reflecting ongoing alignment efforts.</w:t>
      </w:r>
    </w:p>
    <w:p w14:paraId="6E5464D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acknowledgment or sign-off records indicating understanding and agreement.</w:t>
      </w:r>
    </w:p>
    <w:p w14:paraId="36AD12C6"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8B6163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Regular Review and Updating of Documentation and Communication</w:t>
      </w:r>
    </w:p>
    <w:p w14:paraId="6C7EFF1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Periodically review and update the documented purpose, goals, and context, and re-communicate changes to ensure ongoing alignment and clarity.</w:t>
      </w:r>
    </w:p>
    <w:p w14:paraId="5F0DF22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50F63F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 schedules and change logs for purpose and objectives documents.</w:t>
      </w:r>
    </w:p>
    <w:p w14:paraId="2A7AAB2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communication materials or stakeholder briefings.</w:t>
      </w:r>
    </w:p>
    <w:p w14:paraId="3F041E3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records indicating clarity or gaps in understanding.</w:t>
      </w:r>
    </w:p>
    <w:p w14:paraId="1C087FF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Revision records reflecting adjustments tied to organizational changes.</w:t>
      </w:r>
    </w:p>
    <w:p w14:paraId="0D223253"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3F15CD6"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Facilitating Transparency and Accountability through Accessible Information</w:t>
      </w:r>
    </w:p>
    <w:p w14:paraId="0D8370E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accessible, transparent records of AI system purposes and objectives to foster accountability, support audits, and enable informed decision-making across the organization.</w:t>
      </w:r>
    </w:p>
    <w:p w14:paraId="068F552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3C300C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Centralized, accessible documentation repositories or portals.</w:t>
      </w:r>
    </w:p>
    <w:p w14:paraId="2B01A7F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Audit logs showing stakeholder access and queries.</w:t>
      </w:r>
    </w:p>
    <w:p w14:paraId="79946D4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Reports demonstrating use of purpose and objectives for oversight and decision-making.</w:t>
      </w:r>
    </w:p>
    <w:p w14:paraId="4E30A3B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Evidence of training or awareness sessions emphasizing transparency.</w:t>
      </w:r>
    </w:p>
    <w:p w14:paraId="3BD95F0D" w14:textId="77777777" w:rsidR="00065D0B" w:rsidRDefault="00065D0B"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4715D125" w14:textId="647D7409"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6" w:name="_Toc221016945"/>
      <w:r w:rsidRPr="00963E47">
        <w:rPr>
          <w:rFonts w:ascii="Aptos" w:eastAsia="Aptos" w:hAnsi="Aptos" w:cs="Times New Roman"/>
          <w:b/>
          <w:bCs/>
          <w:noProof/>
          <w:color w:val="35256B"/>
          <w:kern w:val="2"/>
          <w:sz w:val="24"/>
          <w14:ligatures w14:val="standardContextual"/>
        </w:rPr>
        <w:t>MAP / Understanding the Operating Context / Defining and Communicating User Requirements</w:t>
      </w:r>
      <w:bookmarkEnd w:id="16"/>
      <w:r w:rsidRPr="00963E47">
        <w:rPr>
          <w:rFonts w:ascii="Aptos" w:eastAsia="Aptos" w:hAnsi="Aptos" w:cs="Times New Roman"/>
          <w:b/>
          <w:bCs/>
          <w:noProof/>
          <w:color w:val="35256B"/>
          <w:kern w:val="2"/>
          <w:sz w:val="24"/>
          <w14:ligatures w14:val="standardContextual"/>
        </w:rPr>
        <w:t xml:space="preserve"> </w:t>
      </w:r>
    </w:p>
    <w:p w14:paraId="2B05423F"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03CB418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279CCAC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6E41F038" w14:textId="77777777" w:rsidTr="005C00A5">
        <w:tc>
          <w:tcPr>
            <w:tcW w:w="1170" w:type="dxa"/>
          </w:tcPr>
          <w:p w14:paraId="451D0B9D"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06536A8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492A13AF"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389AF093" w14:textId="77777777" w:rsidTr="005C00A5">
        <w:tc>
          <w:tcPr>
            <w:tcW w:w="1170" w:type="dxa"/>
          </w:tcPr>
          <w:p w14:paraId="72A997C4"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MP-1.6.1</w:t>
            </w:r>
          </w:p>
        </w:tc>
        <w:tc>
          <w:tcPr>
            <w:tcW w:w="2160" w:type="dxa"/>
          </w:tcPr>
          <w:p w14:paraId="6F302B1E"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Requirements from Stakeholders</w:t>
            </w:r>
          </w:p>
        </w:tc>
        <w:tc>
          <w:tcPr>
            <w:tcW w:w="6740" w:type="dxa"/>
          </w:tcPr>
          <w:p w14:paraId="25F313EA"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engages relevant AI stakeholders (e.g., end-users, domain experts, impacted communities) to elicit and document system requirements that address AI risks and promote trustworthy characteristics (e.g., security, fairness, transparency, accountability).</w:t>
            </w:r>
          </w:p>
          <w:p w14:paraId="794FAEC7" w14:textId="77777777" w:rsidR="00963E47" w:rsidRPr="00963E47" w:rsidRDefault="00963E47" w:rsidP="004C3837">
            <w:pPr>
              <w:keepNext/>
              <w:rPr>
                <w:rFonts w:ascii="Aptos" w:hAnsi="Aptos" w:cs="Times New Roman"/>
                <w:b/>
                <w:bCs/>
                <w:color w:val="000000"/>
                <w:sz w:val="20"/>
                <w:szCs w:val="20"/>
              </w:rPr>
            </w:pPr>
          </w:p>
          <w:p w14:paraId="00F10008" w14:textId="77777777" w:rsidR="00963E47" w:rsidRPr="00963E47" w:rsidRDefault="00963E47" w:rsidP="004C3837">
            <w:pPr>
              <w:keepNext/>
              <w:rPr>
                <w:rFonts w:ascii="Aptos" w:hAnsi="Aptos" w:cs="Times New Roman"/>
                <w:b/>
                <w:bCs/>
                <w:color w:val="000000"/>
                <w:sz w:val="20"/>
                <w:szCs w:val="20"/>
              </w:rPr>
            </w:pPr>
            <w:hyperlink r:id="rId28" w:anchor="map-1-6" w:history="1">
              <w:r w:rsidRPr="00963E47">
                <w:rPr>
                  <w:rFonts w:ascii="Aptos" w:hAnsi="Aptos" w:cs="Times New Roman"/>
                  <w:color w:val="000000"/>
                  <w:sz w:val="20"/>
                  <w:szCs w:val="20"/>
                  <w:u w:val="single"/>
                </w:rPr>
                <w:t>Link to NIST AI RMF Playbook</w:t>
              </w:r>
            </w:hyperlink>
          </w:p>
        </w:tc>
      </w:tr>
    </w:tbl>
    <w:p w14:paraId="2B0BFDB0"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0610166B"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3238B34E"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542F2BD2" w14:textId="77777777" w:rsidTr="005C00A5">
        <w:trPr>
          <w:tblHeader/>
        </w:trPr>
        <w:tc>
          <w:tcPr>
            <w:tcW w:w="2160" w:type="dxa"/>
            <w:shd w:val="clear" w:color="auto" w:fill="CCDCDC"/>
            <w:vAlign w:val="center"/>
          </w:tcPr>
          <w:p w14:paraId="44438629"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6D7EB007"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3033F448"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0C095C24" w14:textId="77777777" w:rsidTr="005C00A5">
        <w:tc>
          <w:tcPr>
            <w:tcW w:w="2160" w:type="dxa"/>
            <w:shd w:val="clear" w:color="auto" w:fill="CCDCDC"/>
          </w:tcPr>
          <w:p w14:paraId="30B103F0"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11F0D034"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E700F57"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recognize the importance of engaging AI stakeholders and start the process of eliciting initial requirements.</w:t>
            </w:r>
          </w:p>
        </w:tc>
      </w:tr>
      <w:tr w:rsidR="00963E47" w:rsidRPr="00963E47" w14:paraId="64BBAFCF" w14:textId="77777777" w:rsidTr="005C00A5">
        <w:tc>
          <w:tcPr>
            <w:tcW w:w="2160" w:type="dxa"/>
            <w:shd w:val="clear" w:color="auto" w:fill="CCDCDC"/>
          </w:tcPr>
          <w:p w14:paraId="5E209B41"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23F10613"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7082CB3C"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have begun engaging some relevant AI stakeholders to gather system requirements, but the process may not comprehensively address AI risks and trustworthiness or be consistently documented.</w:t>
            </w:r>
          </w:p>
        </w:tc>
      </w:tr>
      <w:tr w:rsidR="00963E47" w:rsidRPr="00963E47" w14:paraId="7B5CDAF4" w14:textId="77777777" w:rsidTr="005C00A5">
        <w:tc>
          <w:tcPr>
            <w:tcW w:w="2160" w:type="dxa"/>
            <w:shd w:val="clear" w:color="auto" w:fill="CCDCDC"/>
          </w:tcPr>
          <w:p w14:paraId="0F549183"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3A5F04FD"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A4F32CD"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have established clear processes for engaging a wide range of relevant AI stakeholders to thoroughly elicit and document requirements focused on mitigating AI risks and promoting trustworthy characteristics.</w:t>
            </w:r>
          </w:p>
        </w:tc>
      </w:tr>
      <w:tr w:rsidR="00963E47" w:rsidRPr="00963E47" w14:paraId="5E0CBBD2" w14:textId="77777777" w:rsidTr="005C00A5">
        <w:tc>
          <w:tcPr>
            <w:tcW w:w="2160" w:type="dxa"/>
            <w:shd w:val="clear" w:color="auto" w:fill="CCDCDC"/>
          </w:tcPr>
          <w:p w14:paraId="3448C5D7"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66DAA50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CFA6BF6"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embed continuous, structured engagement with multidisciplinary AI stakeholders into their workflows, ensuring ongoing, stakeholder-informed development aligned with AI Trustworthy Principles.</w:t>
            </w:r>
          </w:p>
        </w:tc>
      </w:tr>
    </w:tbl>
    <w:p w14:paraId="298E4015"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397FFA79" w14:textId="77777777" w:rsidTr="005C00A5">
        <w:tc>
          <w:tcPr>
            <w:tcW w:w="2250" w:type="dxa"/>
          </w:tcPr>
          <w:p w14:paraId="513D227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lastRenderedPageBreak/>
              <w:t>AI Principle</w:t>
            </w:r>
          </w:p>
        </w:tc>
        <w:tc>
          <w:tcPr>
            <w:tcW w:w="2520" w:type="dxa"/>
          </w:tcPr>
          <w:p w14:paraId="31604251"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54DCE66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65DCE0E1" w14:textId="77777777" w:rsidTr="005C00A5">
        <w:tc>
          <w:tcPr>
            <w:tcW w:w="2250" w:type="dxa"/>
          </w:tcPr>
          <w:p w14:paraId="7DB8D3DD"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36A4B24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Unelicited AI Stakeholder Requirements</w:t>
            </w:r>
          </w:p>
        </w:tc>
        <w:tc>
          <w:tcPr>
            <w:tcW w:w="5300" w:type="dxa"/>
          </w:tcPr>
          <w:p w14:paraId="67593F43"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stakeholder system requirements that address AI risks aren't elicited or documented</w:t>
            </w:r>
          </w:p>
        </w:tc>
      </w:tr>
    </w:tbl>
    <w:p w14:paraId="65ABF50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10E3C67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0D42850D"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BF6FCD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To effectively elicit and document system requirements that address AI risks and promote trustworthy characteristics, engage a multidisciplinary range of relevant AI stakeholders, including end-users, domain experts, and impacted communities. Use a variety of methods to gather input, such as interviews, focus groups, surveys, and workshops, ensuring that participants can provide feedback and raise concerns. </w:t>
      </w:r>
    </w:p>
    <w:p w14:paraId="5D4DC780"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0BEB50B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Develop a standardized framework for categorizing and prioritizing system requirements based on their potential impact on AI risks and trustworthy characteristics, such as security, fairness, transparency, and accountability. Document the system requirements using clear and concise language, ensuring that this information is easily accessible to relevant parties.</w:t>
      </w:r>
    </w:p>
    <w:p w14:paraId="5D8466CD"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3B68BD0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Regularly review and update the system requirements to maintain their accuracy and relevance, and communicate changes to relevant stakeholders to ensure alignment.</w:t>
      </w:r>
    </w:p>
    <w:p w14:paraId="3C27DD34"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605DE7C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0D92DAD3"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5E1965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Stakeholder Engagement Planning for AI Requirements Gathering</w:t>
      </w:r>
    </w:p>
    <w:p w14:paraId="4A51383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 structured plans to identify and involve relevant AI Stakeholders, ensuring their input is integrated into system requirements development.</w:t>
      </w:r>
    </w:p>
    <w:p w14:paraId="28E72B38"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771B98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analysis documents identifying relevant parties.</w:t>
      </w:r>
    </w:p>
    <w:p w14:paraId="70E6E34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Engagement plans and timelines outlining methods for elicitation.</w:t>
      </w:r>
    </w:p>
    <w:p w14:paraId="64AB05D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outreach and communication to involved stakeholders.</w:t>
      </w:r>
    </w:p>
    <w:p w14:paraId="100B251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collection and response documentation.</w:t>
      </w:r>
    </w:p>
    <w:p w14:paraId="169A374D" w14:textId="77777777" w:rsidR="00963E47" w:rsidRPr="00963E47" w:rsidRDefault="00963E47" w:rsidP="004C3837">
      <w:pPr>
        <w:rPr>
          <w:rFonts w:ascii="Aptos" w:eastAsia="Aptos" w:hAnsi="Aptos" w:cs="Times New Roman"/>
          <w:color w:val="auto"/>
          <w:kern w:val="2"/>
          <w:sz w:val="20"/>
          <w:szCs w:val="20"/>
          <w14:ligatures w14:val="standardContextual"/>
        </w:rPr>
      </w:pPr>
    </w:p>
    <w:p w14:paraId="35483FF1"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Structured Elicitation and Documentation of Requirements</w:t>
      </w:r>
    </w:p>
    <w:p w14:paraId="2FC9D88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Use standardized methods (e.g., interviews, workshops, surveys) to elicit system requirements from AI Stakeholders, focusing on risks and trustworthiness aspects, and systematically document these inputs.</w:t>
      </w:r>
    </w:p>
    <w:p w14:paraId="6D84233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148822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elicitation sessions, including agendas and participant lists.</w:t>
      </w:r>
    </w:p>
    <w:p w14:paraId="55B4CA7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Requirement specification documents capturing stakeholder needs and concerns.</w:t>
      </w:r>
    </w:p>
    <w:p w14:paraId="13C8CE1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Follow-up action logs for clarifications or additional input.</w:t>
      </w:r>
    </w:p>
    <w:p w14:paraId="1998166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Version-controlled repository of requirement documents.</w:t>
      </w:r>
    </w:p>
    <w:p w14:paraId="7A9FA45C"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97159CD"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Alignment of Requirements with AI Trustworthy Principles</w:t>
      </w:r>
    </w:p>
    <w:p w14:paraId="6C8EFB6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Ensure that elicited requirements explicitly incorporate considerations related to security, fairness, transparency, and accountability, aligning system design with trustworthiness goals.</w:t>
      </w:r>
    </w:p>
    <w:p w14:paraId="444F1713"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935158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Requirement checklists linked to AI Trustworthy Principles.</w:t>
      </w:r>
    </w:p>
    <w:p w14:paraId="7487F63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 and approval records demonstrating requirement alignment.</w:t>
      </w:r>
    </w:p>
    <w:p w14:paraId="1EFEA1A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Requirement traceability matrices mapping stakeholder inputs to trustworthiness criteria.</w:t>
      </w:r>
    </w:p>
    <w:p w14:paraId="298D857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Evaluation reports validating the coverage of trust factors.</w:t>
      </w:r>
    </w:p>
    <w:p w14:paraId="35465710" w14:textId="77777777" w:rsidR="00963E47" w:rsidRPr="00963E47" w:rsidRDefault="00963E47" w:rsidP="004C3837">
      <w:pPr>
        <w:rPr>
          <w:rFonts w:ascii="Aptos" w:eastAsia="Aptos" w:hAnsi="Aptos" w:cs="Times New Roman"/>
          <w:color w:val="auto"/>
          <w:kern w:val="2"/>
          <w:sz w:val="20"/>
          <w:szCs w:val="20"/>
          <w14:ligatures w14:val="standardContextual"/>
        </w:rPr>
      </w:pPr>
    </w:p>
    <w:p w14:paraId="6686CE10"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Validation and Approval of Requirements</w:t>
      </w:r>
    </w:p>
    <w:p w14:paraId="5C9C201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Obtain validation and formal approval from relevant stakeholders, including AI Stakeholders, to confirm that documented requirements adequately address risks and trustworthiness concerns.</w:t>
      </w:r>
    </w:p>
    <w:p w14:paraId="6C87075C"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Examples of Effective Evidence:</w:t>
      </w:r>
      <w:r w:rsidRPr="00963E47">
        <w:rPr>
          <w:rFonts w:ascii="Aptos" w:eastAsia="Aptos" w:hAnsi="Aptos" w:cs="Times New Roman"/>
          <w:color w:val="auto"/>
          <w:kern w:val="2"/>
          <w:sz w:val="20"/>
          <w:szCs w:val="20"/>
          <w14:ligatures w14:val="standardContextual"/>
        </w:rPr>
        <w:t xml:space="preserve"> </w:t>
      </w:r>
    </w:p>
    <w:p w14:paraId="133256C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Signed requirement approval signatures or electronic endorsements.</w:t>
      </w:r>
    </w:p>
    <w:p w14:paraId="0D38AC0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Validation workshop or review meeting minutes.</w:t>
      </w:r>
    </w:p>
    <w:p w14:paraId="522D1D5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or objection logs from stakeholders.</w:t>
      </w:r>
    </w:p>
    <w:p w14:paraId="27CAF89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requirement revisions following stakeholder input.</w:t>
      </w:r>
    </w:p>
    <w:p w14:paraId="30B02B06"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16F616A"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Integration of Requirements into System Design and Development</w:t>
      </w:r>
    </w:p>
    <w:p w14:paraId="58F9105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Incorporate elicited requirements into the design, development, and testing phases of AI systems to ensure stakeholder concerns about risks and trustworthy characteristics are systematically addressed.</w:t>
      </w:r>
    </w:p>
    <w:p w14:paraId="65F51573"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644C4E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Requirement traceability matrices linked to design specifications.</w:t>
      </w:r>
    </w:p>
    <w:p w14:paraId="1743A45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Design review records referencing stakeholder requirements.</w:t>
      </w:r>
    </w:p>
    <w:p w14:paraId="1905960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Testing plans and reports confirming requirements fulfillment.</w:t>
      </w:r>
    </w:p>
    <w:p w14:paraId="065A136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 management logs demonstrating requirement-based modifications.</w:t>
      </w:r>
    </w:p>
    <w:p w14:paraId="48A7A72B"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628FFBD6"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7" w:name="_Toc221016946"/>
      <w:r w:rsidRPr="00963E47">
        <w:rPr>
          <w:rFonts w:ascii="Aptos" w:eastAsia="Aptos" w:hAnsi="Aptos" w:cs="Times New Roman"/>
          <w:b/>
          <w:bCs/>
          <w:noProof/>
          <w:color w:val="35256B"/>
          <w:kern w:val="2"/>
          <w:sz w:val="24"/>
          <w14:ligatures w14:val="standardContextual"/>
        </w:rPr>
        <w:t>MAP / Understanding the AI System / Defining AI System Task and Methodology</w:t>
      </w:r>
      <w:bookmarkEnd w:id="17"/>
      <w:r w:rsidRPr="00963E47">
        <w:rPr>
          <w:rFonts w:ascii="Aptos" w:eastAsia="Aptos" w:hAnsi="Aptos" w:cs="Times New Roman"/>
          <w:b/>
          <w:bCs/>
          <w:noProof/>
          <w:color w:val="35256B"/>
          <w:kern w:val="2"/>
          <w:sz w:val="24"/>
          <w14:ligatures w14:val="standardContextual"/>
        </w:rPr>
        <w:t xml:space="preserve"> </w:t>
      </w:r>
    </w:p>
    <w:p w14:paraId="48BD1DCE"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1A2D323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52ED362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23CEB72E" w14:textId="77777777" w:rsidTr="005C00A5">
        <w:tc>
          <w:tcPr>
            <w:tcW w:w="1170" w:type="dxa"/>
          </w:tcPr>
          <w:p w14:paraId="7143A13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4A8D223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23663A1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43E8C2D8" w14:textId="77777777" w:rsidTr="005C00A5">
        <w:tc>
          <w:tcPr>
            <w:tcW w:w="1170" w:type="dxa"/>
          </w:tcPr>
          <w:p w14:paraId="4C56361A"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MP-2.1.1</w:t>
            </w:r>
          </w:p>
        </w:tc>
        <w:tc>
          <w:tcPr>
            <w:tcW w:w="2160" w:type="dxa"/>
          </w:tcPr>
          <w:p w14:paraId="22666DD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Learning and Decision Tasks</w:t>
            </w:r>
          </w:p>
        </w:tc>
        <w:tc>
          <w:tcPr>
            <w:tcW w:w="6740" w:type="dxa"/>
          </w:tcPr>
          <w:p w14:paraId="4E90CE9C"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defines and documents the AI system's existing and potential future learning and decision-making tasks (e.g., classification, generation, recommendation, prediction), considering fit-for-purpose, scalability and adaptability.</w:t>
            </w:r>
          </w:p>
          <w:p w14:paraId="24531A07" w14:textId="77777777" w:rsidR="00963E47" w:rsidRPr="00963E47" w:rsidRDefault="00963E47" w:rsidP="004C3837">
            <w:pPr>
              <w:keepNext/>
              <w:rPr>
                <w:rFonts w:ascii="Aptos" w:hAnsi="Aptos" w:cs="Times New Roman"/>
                <w:b/>
                <w:bCs/>
                <w:color w:val="000000"/>
                <w:sz w:val="20"/>
                <w:szCs w:val="20"/>
              </w:rPr>
            </w:pPr>
          </w:p>
          <w:p w14:paraId="231A52D7" w14:textId="77777777" w:rsidR="00963E47" w:rsidRPr="00963E47" w:rsidRDefault="00963E47" w:rsidP="004C3837">
            <w:pPr>
              <w:keepNext/>
              <w:rPr>
                <w:rFonts w:ascii="Aptos" w:hAnsi="Aptos" w:cs="Times New Roman"/>
                <w:b/>
                <w:bCs/>
                <w:color w:val="000000"/>
                <w:sz w:val="20"/>
                <w:szCs w:val="20"/>
              </w:rPr>
            </w:pPr>
            <w:hyperlink r:id="rId29" w:anchor="map-2-1" w:history="1">
              <w:r w:rsidRPr="00963E47">
                <w:rPr>
                  <w:rFonts w:ascii="Aptos" w:hAnsi="Aptos" w:cs="Times New Roman"/>
                  <w:color w:val="000000"/>
                  <w:sz w:val="20"/>
                  <w:szCs w:val="20"/>
                  <w:u w:val="single"/>
                </w:rPr>
                <w:t>Link to NIST AI RMF Playbook</w:t>
              </w:r>
            </w:hyperlink>
          </w:p>
        </w:tc>
      </w:tr>
    </w:tbl>
    <w:p w14:paraId="5387AFE9"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17745683"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6527A366"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49669D2B" w14:textId="77777777" w:rsidTr="005C00A5">
        <w:trPr>
          <w:tblHeader/>
        </w:trPr>
        <w:tc>
          <w:tcPr>
            <w:tcW w:w="2160" w:type="dxa"/>
            <w:shd w:val="clear" w:color="auto" w:fill="CCDCDC"/>
            <w:vAlign w:val="center"/>
          </w:tcPr>
          <w:p w14:paraId="3CB468A8"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701FBE62"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0CD7AF24"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6C4B043E" w14:textId="77777777" w:rsidTr="005C00A5">
        <w:tc>
          <w:tcPr>
            <w:tcW w:w="2160" w:type="dxa"/>
            <w:shd w:val="clear" w:color="auto" w:fill="CCDCDC"/>
          </w:tcPr>
          <w:p w14:paraId="00A85118"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543BAA5C"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10035E72"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initial stage begin identifying basic learning and decision-making tasks of AI systems.</w:t>
            </w:r>
          </w:p>
        </w:tc>
      </w:tr>
      <w:tr w:rsidR="00963E47" w:rsidRPr="00963E47" w14:paraId="2D7540E5" w14:textId="77777777" w:rsidTr="005C00A5">
        <w:tc>
          <w:tcPr>
            <w:tcW w:w="2160" w:type="dxa"/>
            <w:shd w:val="clear" w:color="auto" w:fill="CCDCDC"/>
          </w:tcPr>
          <w:p w14:paraId="14EEADA5"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238854C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02A2FB6"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have begun defining and documenting the AI system's current learning and decision-making tasks, but may not yet consider future potential tasks or scalability and adaptability factors.</w:t>
            </w:r>
          </w:p>
        </w:tc>
      </w:tr>
      <w:tr w:rsidR="00963E47" w:rsidRPr="00963E47" w14:paraId="067FF681" w14:textId="77777777" w:rsidTr="005C00A5">
        <w:tc>
          <w:tcPr>
            <w:tcW w:w="2160" w:type="dxa"/>
            <w:shd w:val="clear" w:color="auto" w:fill="CCDCDC"/>
          </w:tcPr>
          <w:p w14:paraId="06475AA0"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7A6C5FE6"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AA7E81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have established clear processes for comprehensively defining and documenting both current and potential future AI system tasks, taking into account scalability and adaptability considerations.</w:t>
            </w:r>
          </w:p>
        </w:tc>
      </w:tr>
      <w:tr w:rsidR="00963E47" w:rsidRPr="00963E47" w14:paraId="0AAF0D84" w14:textId="77777777" w:rsidTr="005C00A5">
        <w:tc>
          <w:tcPr>
            <w:tcW w:w="2160" w:type="dxa"/>
            <w:shd w:val="clear" w:color="auto" w:fill="CCDCDC"/>
          </w:tcPr>
          <w:p w14:paraId="76206A28"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549582A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06C33AAF"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systematically integrate detailed task documentation into lifecycle management, ensuring responsible AI development aligned with AI Trustworthy Principles.</w:t>
            </w:r>
          </w:p>
        </w:tc>
      </w:tr>
    </w:tbl>
    <w:p w14:paraId="78A62E6E"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5E26E4C3" w14:textId="77777777" w:rsidTr="005C00A5">
        <w:tc>
          <w:tcPr>
            <w:tcW w:w="2250" w:type="dxa"/>
          </w:tcPr>
          <w:p w14:paraId="1A503BFB"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lastRenderedPageBreak/>
              <w:t>AI Principle</w:t>
            </w:r>
          </w:p>
        </w:tc>
        <w:tc>
          <w:tcPr>
            <w:tcW w:w="2520" w:type="dxa"/>
          </w:tcPr>
          <w:p w14:paraId="1319D62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6138E14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702E3E3C" w14:textId="77777777" w:rsidTr="005C00A5">
        <w:tc>
          <w:tcPr>
            <w:tcW w:w="2250" w:type="dxa"/>
          </w:tcPr>
          <w:p w14:paraId="1522FEBC"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Valid &amp; Reliable</w:t>
            </w:r>
          </w:p>
        </w:tc>
        <w:tc>
          <w:tcPr>
            <w:tcW w:w="2520" w:type="dxa"/>
          </w:tcPr>
          <w:p w14:paraId="7A93295E"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Undefined Learning Tasks</w:t>
            </w:r>
          </w:p>
        </w:tc>
        <w:tc>
          <w:tcPr>
            <w:tcW w:w="5300" w:type="dxa"/>
          </w:tcPr>
          <w:p w14:paraId="7AA6E864"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system learning and decision-making tasks are undefined or undocumented</w:t>
            </w:r>
          </w:p>
        </w:tc>
      </w:tr>
    </w:tbl>
    <w:p w14:paraId="39167204"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D20E4C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61F5CAF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D7908D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To effectively define and document the AI system's existing and potential future learning and decision-making tasks, engage relevant stakeholders such as data scientists, domain experts, and business leaders to gather input on the system's intended use and capabilities. </w:t>
      </w:r>
    </w:p>
    <w:p w14:paraId="17547A58"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1EE646D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Consider the specific types of tasks the AI system is expected to perform, such as classification, generation, recommendation, or prediction, and document each task using clear and concise language. Assess the validity, scalability and adaptability of each task, considering factors such as the volume and complexity of data involved, the computational resources required, and the potential for the task to evolve or expand over time.</w:t>
      </w:r>
    </w:p>
    <w:p w14:paraId="03380A16"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17E7A40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Document the scalability and adaptability considerations for each task, ensuring this documentation is easily accessible to relevant parties. Store detailed information about specific tasks and their attributes in the model documentation within the AI inventory (see GOVERN 1.6), to avoid inventory overload and to support traceability.</w:t>
      </w:r>
    </w:p>
    <w:p w14:paraId="2C8C05DF"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12CA1362"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Regularly review and update the task documentation as needed to maintain its accuracy and relevance and communicate any changes to relevant stakeholders.</w:t>
      </w:r>
    </w:p>
    <w:p w14:paraId="6D564222"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213400A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6309A22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039F188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Establishment of a Documentation Framework for AI Tasks</w:t>
      </w:r>
    </w:p>
    <w:p w14:paraId="097BA7E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 a structured approach and templates for documenting all AI system tasks, specifying scope, objectives, and technical descriptions, both current and future plans.</w:t>
      </w:r>
    </w:p>
    <w:p w14:paraId="67E5856F"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6B3CF3D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Standardized templates capturing task type, objectives, inputs, outputs, and performance criteria.</w:t>
      </w:r>
    </w:p>
    <w:p w14:paraId="1C62D33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documents outlining documentation standards for AI tasks.</w:t>
      </w:r>
    </w:p>
    <w:p w14:paraId="164D149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Versioned records of task descriptions aligned with system development stages.</w:t>
      </w:r>
    </w:p>
    <w:p w14:paraId="261B75C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Guidelines for identifying potential future tasks and their evaluation criteria.</w:t>
      </w:r>
    </w:p>
    <w:p w14:paraId="0682A22C"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C943904"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Identification and Assessment of Current Tasks</w:t>
      </w:r>
    </w:p>
    <w:p w14:paraId="3D5C2FC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Inventory and evaluate existing AI tasks, assessing their purpose, fit-for-purpose, and suitability for current operational needs.</w:t>
      </w:r>
    </w:p>
    <w:p w14:paraId="14A209F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765EBD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Task inventories with detailed descriptions and performance metrics.</w:t>
      </w:r>
    </w:p>
    <w:p w14:paraId="0C14F15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Requirement and design documents corresponding to existing tasks.</w:t>
      </w:r>
    </w:p>
    <w:p w14:paraId="1A7B81D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Assessment reports confirming task relevance and fitness for current use.</w:t>
      </w:r>
    </w:p>
    <w:p w14:paraId="0F30791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review notes endorsing task deployment.</w:t>
      </w:r>
    </w:p>
    <w:p w14:paraId="51A1F704"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D8E2CDE"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Planning for Future Tasks and Scalability</w:t>
      </w:r>
    </w:p>
    <w:p w14:paraId="625C276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Outline plans for potential new tasks, scalability, and adaptability, including technical feasibility and strategic alignment considerations.</w:t>
      </w:r>
    </w:p>
    <w:p w14:paraId="045F68D8"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5B45C73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Roadmaps and project proposals for future AI tasks.</w:t>
      </w:r>
    </w:p>
    <w:p w14:paraId="1EF84AE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Technical feasibility studies and impact assessments.</w:t>
      </w:r>
    </w:p>
    <w:p w14:paraId="365EED3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Scalability and adaptability criteria integrated into planning and design documents.</w:t>
      </w:r>
    </w:p>
    <w:p w14:paraId="72BF3AA2"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Evaluation matrices for prioritizing future task development.</w:t>
      </w:r>
    </w:p>
    <w:p w14:paraId="2D394905" w14:textId="77777777" w:rsidR="00963E47" w:rsidRPr="00963E47" w:rsidRDefault="00963E47" w:rsidP="004C3837">
      <w:pPr>
        <w:rPr>
          <w:rFonts w:ascii="Aptos" w:eastAsia="Aptos" w:hAnsi="Aptos" w:cs="Times New Roman"/>
          <w:color w:val="auto"/>
          <w:kern w:val="2"/>
          <w:sz w:val="20"/>
          <w:szCs w:val="20"/>
          <w14:ligatures w14:val="standardContextual"/>
        </w:rPr>
      </w:pPr>
    </w:p>
    <w:p w14:paraId="09B31B83"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Integration of Task Documentation into Development and Governance Processes</w:t>
      </w:r>
    </w:p>
    <w:p w14:paraId="37332A2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Embed task descriptions and assessments into development workflows, risk management practices, and oversight activities to ensure alignment and traceability.</w:t>
      </w:r>
    </w:p>
    <w:p w14:paraId="40E4475F"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1092EC5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Task documentation linked to design artifacts and requirements.</w:t>
      </w:r>
    </w:p>
    <w:p w14:paraId="6F82985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assessments considering new or evolving tasks.</w:t>
      </w:r>
    </w:p>
    <w:p w14:paraId="001BBC7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Traceability matrices connecting tasks to organizational goals and compliance standards.</w:t>
      </w:r>
    </w:p>
    <w:p w14:paraId="431A002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Periodic review records updating task descriptions.</w:t>
      </w:r>
    </w:p>
    <w:p w14:paraId="57852A6B"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AB926F6"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Continuous Review and Refinement Based on Feedback and Changes</w:t>
      </w:r>
    </w:p>
    <w:p w14:paraId="1C1867E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Regularly review and update task definitions and assessments in response to feedback, system evolution, and changing organizational strategies.</w:t>
      </w:r>
    </w:p>
    <w:p w14:paraId="6F57267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D6C893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Scheduled review schedules with documented updates.</w:t>
      </w:r>
    </w:p>
    <w:p w14:paraId="47D9BE8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logs from users, developers, and stakeholders influencing task descriptions.</w:t>
      </w:r>
    </w:p>
    <w:p w14:paraId="076E308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 management records reflecting task refinement.</w:t>
      </w:r>
    </w:p>
    <w:p w14:paraId="2947B64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Lessons learned from deployment and maintenance activities incorporated into future planning.</w:t>
      </w:r>
    </w:p>
    <w:p w14:paraId="3F29A853"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3C2B57C3"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0D1669D3" w14:textId="77777777" w:rsidR="003372CF" w:rsidRDefault="003372CF"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15D90272" w14:textId="251E0E46"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8" w:name="_Toc221016947"/>
      <w:r w:rsidRPr="00963E47">
        <w:rPr>
          <w:rFonts w:ascii="Aptos" w:eastAsia="Aptos" w:hAnsi="Aptos" w:cs="Times New Roman"/>
          <w:b/>
          <w:bCs/>
          <w:noProof/>
          <w:color w:val="35256B"/>
          <w:kern w:val="2"/>
          <w:sz w:val="24"/>
          <w14:ligatures w14:val="standardContextual"/>
        </w:rPr>
        <w:t>MAP / Understanding the AI System / Defining AI System Utility and Oversight Needs</w:t>
      </w:r>
      <w:bookmarkEnd w:id="18"/>
      <w:r w:rsidRPr="00963E47">
        <w:rPr>
          <w:rFonts w:ascii="Aptos" w:eastAsia="Aptos" w:hAnsi="Aptos" w:cs="Times New Roman"/>
          <w:b/>
          <w:bCs/>
          <w:noProof/>
          <w:color w:val="35256B"/>
          <w:kern w:val="2"/>
          <w:sz w:val="24"/>
          <w14:ligatures w14:val="standardContextual"/>
        </w:rPr>
        <w:t xml:space="preserve"> </w:t>
      </w:r>
    </w:p>
    <w:p w14:paraId="413F95B2"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3F5EB60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2F7A787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032C7749" w14:textId="77777777" w:rsidTr="005C00A5">
        <w:tc>
          <w:tcPr>
            <w:tcW w:w="1170" w:type="dxa"/>
          </w:tcPr>
          <w:p w14:paraId="086B8CF4"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210B107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40832B9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7640B9AA" w14:textId="77777777" w:rsidTr="005C00A5">
        <w:tc>
          <w:tcPr>
            <w:tcW w:w="1170" w:type="dxa"/>
          </w:tcPr>
          <w:p w14:paraId="5BE8D1CE"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MP-2.2.1</w:t>
            </w:r>
          </w:p>
        </w:tc>
        <w:tc>
          <w:tcPr>
            <w:tcW w:w="2160" w:type="dxa"/>
          </w:tcPr>
          <w:p w14:paraId="0DC5C513"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Usage and Boundary Documentation</w:t>
            </w:r>
          </w:p>
        </w:tc>
        <w:tc>
          <w:tcPr>
            <w:tcW w:w="6740" w:type="dxa"/>
          </w:tcPr>
          <w:p w14:paraId="7726305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documents the settings, environments, and conditions that are within the AI system’s intended use, defining the boundaries of its applicability while considering knowledge limits and areas where human intervention and irreversibility of decisions is crucial.</w:t>
            </w:r>
          </w:p>
          <w:p w14:paraId="0F192332" w14:textId="77777777" w:rsidR="00963E47" w:rsidRPr="00963E47" w:rsidRDefault="00963E47" w:rsidP="004C3837">
            <w:pPr>
              <w:keepNext/>
              <w:rPr>
                <w:rFonts w:ascii="Aptos" w:hAnsi="Aptos" w:cs="Times New Roman"/>
                <w:b/>
                <w:bCs/>
                <w:color w:val="000000"/>
                <w:sz w:val="20"/>
                <w:szCs w:val="20"/>
              </w:rPr>
            </w:pPr>
          </w:p>
          <w:p w14:paraId="5267E172" w14:textId="77777777" w:rsidR="00963E47" w:rsidRPr="00963E47" w:rsidRDefault="00963E47" w:rsidP="004C3837">
            <w:pPr>
              <w:keepNext/>
              <w:rPr>
                <w:rFonts w:ascii="Aptos" w:hAnsi="Aptos" w:cs="Times New Roman"/>
                <w:b/>
                <w:bCs/>
                <w:color w:val="000000"/>
                <w:sz w:val="20"/>
                <w:szCs w:val="20"/>
              </w:rPr>
            </w:pPr>
            <w:hyperlink r:id="rId30" w:anchor="map-2-2" w:history="1">
              <w:r w:rsidRPr="00963E47">
                <w:rPr>
                  <w:rFonts w:ascii="Aptos" w:hAnsi="Aptos" w:cs="Times New Roman"/>
                  <w:color w:val="000000"/>
                  <w:sz w:val="20"/>
                  <w:szCs w:val="20"/>
                  <w:u w:val="single"/>
                </w:rPr>
                <w:t>Link to NIST AI RMF Playbook</w:t>
              </w:r>
            </w:hyperlink>
          </w:p>
        </w:tc>
      </w:tr>
    </w:tbl>
    <w:p w14:paraId="2C1F9423"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5282D369"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7FF55508"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3E890AC6" w14:textId="77777777" w:rsidTr="005C00A5">
        <w:trPr>
          <w:tblHeader/>
        </w:trPr>
        <w:tc>
          <w:tcPr>
            <w:tcW w:w="2160" w:type="dxa"/>
            <w:shd w:val="clear" w:color="auto" w:fill="CCDCDC"/>
            <w:vAlign w:val="center"/>
          </w:tcPr>
          <w:p w14:paraId="01CC17B6"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0DB641B7"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2403BD7C"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04C9EA74" w14:textId="77777777" w:rsidTr="005C00A5">
        <w:tc>
          <w:tcPr>
            <w:tcW w:w="2160" w:type="dxa"/>
            <w:shd w:val="clear" w:color="auto" w:fill="CCDCDC"/>
          </w:tcPr>
          <w:p w14:paraId="2A6F27C5"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0555823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C72378D"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begin identifying basic settings and boundaries of AI intended use.</w:t>
            </w:r>
          </w:p>
        </w:tc>
      </w:tr>
      <w:tr w:rsidR="00963E47" w:rsidRPr="00963E47" w14:paraId="11D43B92" w14:textId="77777777" w:rsidTr="005C00A5">
        <w:tc>
          <w:tcPr>
            <w:tcW w:w="2160" w:type="dxa"/>
            <w:shd w:val="clear" w:color="auto" w:fill="CCDCDC"/>
          </w:tcPr>
          <w:p w14:paraId="51340987"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545E7262"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656FA7C"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have begun documenting the intended use settings and conditions for AI systems, but the boundaries and knowledge limits may not be comprehensively defined and areas for human intervention may not be clearly identified.</w:t>
            </w:r>
          </w:p>
        </w:tc>
      </w:tr>
      <w:tr w:rsidR="00963E47" w:rsidRPr="00963E47" w14:paraId="13FCE1D4" w14:textId="77777777" w:rsidTr="005C00A5">
        <w:tc>
          <w:tcPr>
            <w:tcW w:w="2160" w:type="dxa"/>
            <w:shd w:val="clear" w:color="auto" w:fill="CCDCDC"/>
          </w:tcPr>
          <w:p w14:paraId="15FDFF52"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4C38B7DE"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6F299A3"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have established clear processes for thoroughly documenting AI system intended use boundaries, knowledge limits, and areas requiring human intervention, providing a comprehensive picture of the system's applicability and limitations.</w:t>
            </w:r>
          </w:p>
        </w:tc>
      </w:tr>
      <w:tr w:rsidR="00963E47" w:rsidRPr="00963E47" w14:paraId="056E5F8B" w14:textId="77777777" w:rsidTr="005C00A5">
        <w:tc>
          <w:tcPr>
            <w:tcW w:w="2160" w:type="dxa"/>
            <w:shd w:val="clear" w:color="auto" w:fill="CCDCDC"/>
          </w:tcPr>
          <w:p w14:paraId="67702CCC"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55738372"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B86977C"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integrate comprehensive boundary documentation into lifecycle management, ensuring responsible and transparent AI deployment aligned with AI Trustworthy Principles.</w:t>
            </w:r>
          </w:p>
        </w:tc>
      </w:tr>
    </w:tbl>
    <w:p w14:paraId="765415C2"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56016BE6" w14:textId="77777777" w:rsidTr="005C00A5">
        <w:tc>
          <w:tcPr>
            <w:tcW w:w="2250" w:type="dxa"/>
          </w:tcPr>
          <w:p w14:paraId="12D3B182"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5E4D8FC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6091D767"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6423865E" w14:textId="77777777" w:rsidTr="005C00A5">
        <w:tc>
          <w:tcPr>
            <w:tcW w:w="2250" w:type="dxa"/>
          </w:tcPr>
          <w:p w14:paraId="0F953C7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Explainable &amp; Interpretable</w:t>
            </w:r>
          </w:p>
        </w:tc>
        <w:tc>
          <w:tcPr>
            <w:tcW w:w="2520" w:type="dxa"/>
          </w:tcPr>
          <w:p w14:paraId="6B3D2F8A"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Undocumented Use Boundaries</w:t>
            </w:r>
          </w:p>
        </w:tc>
        <w:tc>
          <w:tcPr>
            <w:tcW w:w="5300" w:type="dxa"/>
          </w:tcPr>
          <w:p w14:paraId="2555B593"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AI system's intended use boundaries, environments, and conditions are undocumented</w:t>
            </w:r>
          </w:p>
        </w:tc>
      </w:tr>
    </w:tbl>
    <w:p w14:paraId="41E6A64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886D63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77D54B6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CB9C00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To effectively document the boundaries, environments, and conditions within the AI system's intended use, engage relevant stakeholders, such as data scientists, domain experts, and end-users, to gather input on the system's capabilities and limitations. Develop a clear and concise definition of the AI system's intended use, including the specific tasks it is designed to perform, the types of data it can process, and the expected outputs or outcomes.</w:t>
      </w:r>
    </w:p>
    <w:p w14:paraId="0D097749"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3F31E6B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Identify and document any known limitations or constraints on the system's applicability, such as data quality requirements, computational resource limitations, or domain-specific assumptions. Clearly define the boundaries of the AI system's knowledge and capabilities, specifying areas where human intervention or oversight are necessary to ensure safe and effective operation.</w:t>
      </w:r>
    </w:p>
    <w:p w14:paraId="786CC0FC"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7F3480D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Document this information in clear and concise language, making it easily accessible to relevant parties. Regularly review and update the documentation as needed to maintain its accuracy and relevance and communicate changes to relevant stakeholders.</w:t>
      </w:r>
    </w:p>
    <w:p w14:paraId="1C3F1378"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3ADA9CF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6FC4764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EFBB8F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Development of a Comprehensive Use Case Document</w:t>
      </w:r>
    </w:p>
    <w:p w14:paraId="79F30CA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Create a detailed record specifying the operational settings, deployment environments, and conditions under which the AI system is intended to operate, including constraints and known knowledge limits.</w:t>
      </w:r>
    </w:p>
    <w:p w14:paraId="7C3A573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653090F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Formal use case documents outlining environment parameters and operational boundaries.</w:t>
      </w:r>
    </w:p>
    <w:p w14:paraId="1335AE7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Specifications detailing system assumptions, scope, and knowledge limitations.</w:t>
      </w:r>
    </w:p>
    <w:p w14:paraId="0D73E70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Diagrams illustrating deployment contexts and boundary conditions.</w:t>
      </w:r>
    </w:p>
    <w:p w14:paraId="327397F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Stakeholder review and approval records.</w:t>
      </w:r>
    </w:p>
    <w:p w14:paraId="1798D790"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D926F13"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Definition of Boundaries and Applicability Criteria</w:t>
      </w:r>
    </w:p>
    <w:p w14:paraId="55BC1BD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explicit criteria delineating where and how the AI system is appropriate, including environmental, data, and user-related conditions, as well as areas requiring human oversight.</w:t>
      </w:r>
    </w:p>
    <w:p w14:paraId="2C85158C"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8985AC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Use boundary matrices listing allowed contexts, data types, and user roles.</w:t>
      </w:r>
    </w:p>
    <w:p w14:paraId="57E0342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Operational manuals describing environmental parameters and limits.</w:t>
      </w:r>
    </w:p>
    <w:p w14:paraId="4F3C9EA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assessments identifying areas where human intervention is mandatory.</w:t>
      </w:r>
    </w:p>
    <w:p w14:paraId="639FE74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documents on system scope restrictions.</w:t>
      </w:r>
    </w:p>
    <w:p w14:paraId="0879655E" w14:textId="77777777" w:rsidR="00963E47" w:rsidRPr="00963E47" w:rsidRDefault="00963E47" w:rsidP="004C3837">
      <w:pPr>
        <w:rPr>
          <w:rFonts w:ascii="Aptos" w:eastAsia="Aptos" w:hAnsi="Aptos" w:cs="Times New Roman"/>
          <w:color w:val="auto"/>
          <w:kern w:val="2"/>
          <w:sz w:val="20"/>
          <w:szCs w:val="20"/>
          <w14:ligatures w14:val="standardContextual"/>
        </w:rPr>
      </w:pPr>
    </w:p>
    <w:p w14:paraId="34328C4F"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Identification of Knowledge Limits and Uncertainty Areas</w:t>
      </w:r>
    </w:p>
    <w:p w14:paraId="123D7F4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Document areas where the AI system’s knowledge is limited or unreliable, providing guidance for deployment and human oversight needs.</w:t>
      </w:r>
    </w:p>
    <w:p w14:paraId="5C4892B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6730909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Knowledge limit assessments noting data gaps, model uncertainties, and performance thresholds.</w:t>
      </w:r>
    </w:p>
    <w:p w14:paraId="4D27566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Decision matrices mapping knowledge limits to acceptable use conditions.</w:t>
      </w:r>
    </w:p>
    <w:p w14:paraId="792AA90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Operational reports highlighting areas where human reviews are essential.</w:t>
      </w:r>
    </w:p>
    <w:p w14:paraId="74A42652"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registers with entries on knowledge-based uncertainties.</w:t>
      </w:r>
    </w:p>
    <w:p w14:paraId="585F0675"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0879B48"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Specification of Human Intervention Points and Responsibilities</w:t>
      </w:r>
    </w:p>
    <w:p w14:paraId="7D5CFEC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Clearly specify situations where human intervention is required, including roles, decision points, and escalation procedures.</w:t>
      </w:r>
    </w:p>
    <w:p w14:paraId="73A63E00"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BA58AF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Operator guidelines delineating intervention points.</w:t>
      </w:r>
    </w:p>
    <w:p w14:paraId="28D2425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Escalation workflows for system alerts or knowledge uncertainties.</w:t>
      </w:r>
    </w:p>
    <w:p w14:paraId="2548A89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and onboarding materials emphasizing intervention responsibilities.</w:t>
      </w:r>
    </w:p>
    <w:p w14:paraId="6F77F17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Incident logs documenting human alerts and responses.</w:t>
      </w:r>
    </w:p>
    <w:p w14:paraId="6777F2F8"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FB0F486"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Regular Review and Utilization of Use and Boundary Documentation</w:t>
      </w:r>
    </w:p>
    <w:p w14:paraId="42A1B01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Schedule periodic reviews to confirm that use boundaries, knowledge limits, and human intervention protocols remain accurate and appropriate, updating them based on operational feedback and system evolution.</w:t>
      </w:r>
    </w:p>
    <w:p w14:paraId="4FEE370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0C2EAD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 schedules with documented outcomes and updates.</w:t>
      </w:r>
    </w:p>
    <w:p w14:paraId="50B8941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logs from deployment and operational teams.</w:t>
      </w:r>
    </w:p>
    <w:p w14:paraId="54155F7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use case and boundary documents with revision history.</w:t>
      </w:r>
    </w:p>
    <w:p w14:paraId="52FB3C6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Lessons learned from incidents or operational changes incorporating boundary adjustments.</w:t>
      </w:r>
    </w:p>
    <w:p w14:paraId="0B483646"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43D05DBF"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19" w:name="_Toc221016948"/>
      <w:r w:rsidRPr="00963E47">
        <w:rPr>
          <w:rFonts w:ascii="Aptos" w:eastAsia="Aptos" w:hAnsi="Aptos" w:cs="Times New Roman"/>
          <w:b/>
          <w:bCs/>
          <w:noProof/>
          <w:color w:val="35256B"/>
          <w:kern w:val="2"/>
          <w:sz w:val="24"/>
          <w14:ligatures w14:val="standardContextual"/>
        </w:rPr>
        <w:t>MAP / Understanding the AI System / Applying Scientific Methodologies</w:t>
      </w:r>
      <w:bookmarkEnd w:id="19"/>
      <w:r w:rsidRPr="00963E47">
        <w:rPr>
          <w:rFonts w:ascii="Aptos" w:eastAsia="Aptos" w:hAnsi="Aptos" w:cs="Times New Roman"/>
          <w:b/>
          <w:bCs/>
          <w:noProof/>
          <w:color w:val="35256B"/>
          <w:kern w:val="2"/>
          <w:sz w:val="24"/>
          <w14:ligatures w14:val="standardContextual"/>
        </w:rPr>
        <w:t xml:space="preserve"> </w:t>
      </w:r>
    </w:p>
    <w:p w14:paraId="2BA94154"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173BFE4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739767B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50529E0E" w14:textId="77777777" w:rsidTr="005C00A5">
        <w:tc>
          <w:tcPr>
            <w:tcW w:w="1170" w:type="dxa"/>
          </w:tcPr>
          <w:p w14:paraId="1273144E"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63DE9D9F"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6E51B9D2"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7905FCA3" w14:textId="77777777" w:rsidTr="005C00A5">
        <w:tc>
          <w:tcPr>
            <w:tcW w:w="1170" w:type="dxa"/>
          </w:tcPr>
          <w:p w14:paraId="0C86672A"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MP-2.3.1</w:t>
            </w:r>
          </w:p>
        </w:tc>
        <w:tc>
          <w:tcPr>
            <w:tcW w:w="2160" w:type="dxa"/>
          </w:tcPr>
          <w:p w14:paraId="1B307533"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Development and Operation Documentation</w:t>
            </w:r>
          </w:p>
        </w:tc>
        <w:tc>
          <w:tcPr>
            <w:tcW w:w="6740" w:type="dxa"/>
          </w:tcPr>
          <w:p w14:paraId="2D0CEF2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documents assumptions, limitations, techniques, and metrics used for development or operation of the AI system throughout the lifecycle, aligning with data governance policies. This includes documenting data selection, curation, preparation, and analysis techniques, as well as identifying modeled constructs and methods for inferring reasonable relationships between constructs and dataset attributes.</w:t>
            </w:r>
          </w:p>
          <w:p w14:paraId="6440A6C1" w14:textId="77777777" w:rsidR="00963E47" w:rsidRPr="00963E47" w:rsidRDefault="00963E47" w:rsidP="004C3837">
            <w:pPr>
              <w:keepNext/>
              <w:rPr>
                <w:rFonts w:ascii="Aptos" w:hAnsi="Aptos" w:cs="Times New Roman"/>
                <w:b/>
                <w:bCs/>
                <w:color w:val="000000"/>
                <w:sz w:val="20"/>
                <w:szCs w:val="20"/>
              </w:rPr>
            </w:pPr>
          </w:p>
          <w:p w14:paraId="1F4A1B4C" w14:textId="77777777" w:rsidR="00963E47" w:rsidRPr="00963E47" w:rsidRDefault="00963E47" w:rsidP="004C3837">
            <w:pPr>
              <w:keepNext/>
              <w:rPr>
                <w:rFonts w:ascii="Aptos" w:hAnsi="Aptos" w:cs="Times New Roman"/>
                <w:b/>
                <w:bCs/>
                <w:color w:val="000000"/>
                <w:sz w:val="20"/>
                <w:szCs w:val="20"/>
              </w:rPr>
            </w:pPr>
            <w:hyperlink r:id="rId31" w:anchor="map-2-3" w:history="1">
              <w:r w:rsidRPr="00963E47">
                <w:rPr>
                  <w:rFonts w:ascii="Aptos" w:hAnsi="Aptos" w:cs="Times New Roman"/>
                  <w:color w:val="000000"/>
                  <w:sz w:val="20"/>
                  <w:szCs w:val="20"/>
                  <w:u w:val="single"/>
                </w:rPr>
                <w:t>Link to NIST AI RMF Playbook</w:t>
              </w:r>
            </w:hyperlink>
          </w:p>
        </w:tc>
      </w:tr>
    </w:tbl>
    <w:p w14:paraId="75B9E4BC"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7788F34F"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5BEB1702"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3E2E938B" w14:textId="77777777" w:rsidTr="005C00A5">
        <w:trPr>
          <w:tblHeader/>
        </w:trPr>
        <w:tc>
          <w:tcPr>
            <w:tcW w:w="2160" w:type="dxa"/>
            <w:shd w:val="clear" w:color="auto" w:fill="CCDCDC"/>
            <w:vAlign w:val="center"/>
          </w:tcPr>
          <w:p w14:paraId="64DE8490"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4790642D"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095FE05A"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061F923A" w14:textId="77777777" w:rsidTr="005C00A5">
        <w:tc>
          <w:tcPr>
            <w:tcW w:w="2160" w:type="dxa"/>
            <w:shd w:val="clear" w:color="auto" w:fill="CCDCDC"/>
          </w:tcPr>
          <w:p w14:paraId="1BDF13D7"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5808D880"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6668595"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initial stage begin recognizing the importance of documenting key assumptions, limitations, and techniques used in AI development and operation.</w:t>
            </w:r>
          </w:p>
        </w:tc>
      </w:tr>
      <w:tr w:rsidR="00963E47" w:rsidRPr="00963E47" w14:paraId="0E98F500" w14:textId="77777777" w:rsidTr="005C00A5">
        <w:tc>
          <w:tcPr>
            <w:tcW w:w="2160" w:type="dxa"/>
            <w:shd w:val="clear" w:color="auto" w:fill="CCDCDC"/>
          </w:tcPr>
          <w:p w14:paraId="04398088"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2D04A37F"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600FA8F"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minimal stage, organizations have begun establishing TEVV protocols for AI models and systems, but they may not cover the full lifecycle or all relevant subcomponents and may not be consistently documented.</w:t>
            </w:r>
          </w:p>
        </w:tc>
      </w:tr>
      <w:tr w:rsidR="00963E47" w:rsidRPr="00963E47" w14:paraId="7C75906F" w14:textId="77777777" w:rsidTr="005C00A5">
        <w:tc>
          <w:tcPr>
            <w:tcW w:w="2160" w:type="dxa"/>
            <w:shd w:val="clear" w:color="auto" w:fill="CCDCDC"/>
          </w:tcPr>
          <w:p w14:paraId="1CFBCB8E"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02BCD62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170B8FD"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evolving stage have established comprehensive, well-documented TEVV protocols that cover the entire AI lifecycle and all relevant models, systems, and subcomponents, ensuring thorough testing and validation.</w:t>
            </w:r>
          </w:p>
        </w:tc>
      </w:tr>
      <w:tr w:rsidR="00963E47" w:rsidRPr="00963E47" w14:paraId="4E34AFC2" w14:textId="77777777" w:rsidTr="005C00A5">
        <w:tc>
          <w:tcPr>
            <w:tcW w:w="2160" w:type="dxa"/>
            <w:shd w:val="clear" w:color="auto" w:fill="CCDCDC"/>
          </w:tcPr>
          <w:p w14:paraId="4532F0F4"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4E529994"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1DAB3E8"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embedded stage, organizations systematically integrate comprehensive documentation into every phase of the AI lifecycle, enabling transparency, accountability, and responsible management aligned with AI Trustworthy Principles.</w:t>
            </w:r>
          </w:p>
        </w:tc>
      </w:tr>
    </w:tbl>
    <w:p w14:paraId="56479591"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3026B36B" w14:textId="77777777" w:rsidTr="005C00A5">
        <w:tc>
          <w:tcPr>
            <w:tcW w:w="2250" w:type="dxa"/>
          </w:tcPr>
          <w:p w14:paraId="1341D1B1"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5F1629FF"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70560C67"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5A5DC852" w14:textId="77777777" w:rsidTr="005C00A5">
        <w:tc>
          <w:tcPr>
            <w:tcW w:w="2250" w:type="dxa"/>
          </w:tcPr>
          <w:p w14:paraId="57BDEE34"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Valid &amp; Reliable</w:t>
            </w:r>
          </w:p>
        </w:tc>
        <w:tc>
          <w:tcPr>
            <w:tcW w:w="2520" w:type="dxa"/>
          </w:tcPr>
          <w:p w14:paraId="2C68350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Undocumented Development and Operation Details</w:t>
            </w:r>
          </w:p>
        </w:tc>
        <w:tc>
          <w:tcPr>
            <w:tcW w:w="5300" w:type="dxa"/>
          </w:tcPr>
          <w:p w14:paraId="34C73C37"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Assumptions, limitations, and techniques for AI system development and operation are undocumented</w:t>
            </w:r>
          </w:p>
        </w:tc>
      </w:tr>
    </w:tbl>
    <w:p w14:paraId="5ADAD06C"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177AA8E3"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57ADC44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0500AB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Document the assumptions, techniques, and metrics used for the development, deployment, and ongoing operation of the AI system across its entire lifecycle, ensuring consistency with the organization’s data governance policies. This includes detailed documentation of data selection, curation, preprocessing, and analysis techniques, as well as identifying modeled constructs and methods for inferring meaningful relationships between dataset attributes and constructs.</w:t>
      </w:r>
    </w:p>
    <w:p w14:paraId="59B82BC1"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09736F1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Engage relevant stakeholders, such as data scientists, data engineers, data governance professionals, and domain experts, in the documentation process to gather input on appropriate techniques and metrics at each stage of the AI lifecycle. This collaboration helps ensure that assumptions are valid, techniques are suitable, and metrics effectively measure trustworthiness and performance.</w:t>
      </w:r>
    </w:p>
    <w:p w14:paraId="2C78C4DB"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3024CBB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Develop a standardized framework for documenting data-related assumptions, methods, and metrics, ensuring it aligns with organizational data governance standards and best practices. This framework should be applied consistently throughout the lifecycle.</w:t>
      </w:r>
    </w:p>
    <w:p w14:paraId="0EA71FBE"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3C7978B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Regularly review and update the documentation to reflect changes in the system, data sources, techniques, and organizational standards, maintaining accuracy and relevance over time. Communicate updates to relevant stakeholders and provide training or support to foster organizational understanding and adherence to documented practices, supporting transparency and accountability throughout the AI lifecycle.</w:t>
      </w:r>
    </w:p>
    <w:p w14:paraId="1B18E344"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24D378ED"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5FD2F20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A9C509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Development of a Comprehensive Documentation Framework</w:t>
      </w:r>
    </w:p>
    <w:p w14:paraId="19CC540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standardized templates and processes for recording assumptions, limitations, techniques, and metrics at each lifecycle stage, aligned with data governance standards.</w:t>
      </w:r>
    </w:p>
    <w:p w14:paraId="4EBF3EB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19D6E87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Formalized templates capturing assumptions, limitations, techniques, and metrics.</w:t>
      </w:r>
    </w:p>
    <w:p w14:paraId="64A04D0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Version-controlled documentation linked to system development and deployment phases.</w:t>
      </w:r>
    </w:p>
    <w:p w14:paraId="74B904A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Guidelines aligning technical practices with data governance policies.</w:t>
      </w:r>
    </w:p>
    <w:p w14:paraId="78F44A1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Checklists ensuring completeness and consistency.</w:t>
      </w:r>
    </w:p>
    <w:p w14:paraId="4ECB42E0" w14:textId="77777777" w:rsidR="00963E47" w:rsidRPr="00963E47" w:rsidRDefault="00963E47" w:rsidP="004C3837">
      <w:pPr>
        <w:rPr>
          <w:rFonts w:ascii="Aptos" w:eastAsia="Aptos" w:hAnsi="Aptos" w:cs="Times New Roman"/>
          <w:color w:val="auto"/>
          <w:kern w:val="2"/>
          <w:sz w:val="20"/>
          <w:szCs w:val="20"/>
          <w14:ligatures w14:val="standardContextual"/>
        </w:rPr>
      </w:pPr>
    </w:p>
    <w:p w14:paraId="66D1623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Documentation of Data Selection, Curation, and Preparation Techniques</w:t>
      </w:r>
    </w:p>
    <w:p w14:paraId="09B1C5D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Record detailed descriptions of data sourcing, selection criteria, curation processes, and preparation methods used throughout the lifecycle.</w:t>
      </w:r>
    </w:p>
    <w:p w14:paraId="03FF146F"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6BBFA59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Data provenance and sourcing documentation.</w:t>
      </w:r>
    </w:p>
    <w:p w14:paraId="323F6AD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data cleaning, transformation, and feature engineering techniques.</w:t>
      </w:r>
    </w:p>
    <w:p w14:paraId="45F298B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Data quality assessment reports.</w:t>
      </w:r>
    </w:p>
    <w:p w14:paraId="06DA745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Data processing workflows with version control.</w:t>
      </w:r>
    </w:p>
    <w:p w14:paraId="05ACD8E3"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3093C4E"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Identification of Modeled Constructs and Relationships</w:t>
      </w:r>
    </w:p>
    <w:p w14:paraId="245B4CE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Clearly document the modeled constructs, underlying assumptions, and the methods used to infer relationships between dataset attributes and constructs, including rationale and limitations.</w:t>
      </w:r>
    </w:p>
    <w:p w14:paraId="5DA15E0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Examples of Effective Evidence:</w:t>
      </w:r>
      <w:r w:rsidRPr="00963E47">
        <w:rPr>
          <w:rFonts w:ascii="Aptos" w:eastAsia="Aptos" w:hAnsi="Aptos" w:cs="Times New Roman"/>
          <w:color w:val="auto"/>
          <w:kern w:val="2"/>
          <w:sz w:val="20"/>
          <w:szCs w:val="20"/>
          <w14:ligatures w14:val="standardContextual"/>
        </w:rPr>
        <w:t xml:space="preserve"> </w:t>
      </w:r>
    </w:p>
    <w:p w14:paraId="12A224C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Definitions and descriptions of key constructs and attributes.</w:t>
      </w:r>
    </w:p>
    <w:p w14:paraId="7169395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Modeling assumptions and hypotheses documentation.</w:t>
      </w:r>
    </w:p>
    <w:p w14:paraId="6CC972A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Methods and algorithms used for inferring relationships, with justifications.</w:t>
      </w:r>
    </w:p>
    <w:p w14:paraId="0741605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Rationale for model choices in relation to dataset features.</w:t>
      </w:r>
    </w:p>
    <w:p w14:paraId="7219CF6E" w14:textId="77777777" w:rsidR="00963E47" w:rsidRPr="00963E47" w:rsidRDefault="00963E47" w:rsidP="004C3837">
      <w:pPr>
        <w:rPr>
          <w:rFonts w:ascii="Aptos" w:eastAsia="Aptos" w:hAnsi="Aptos" w:cs="Times New Roman"/>
          <w:color w:val="auto"/>
          <w:kern w:val="2"/>
          <w:sz w:val="20"/>
          <w:szCs w:val="20"/>
          <w14:ligatures w14:val="standardContextual"/>
        </w:rPr>
      </w:pPr>
    </w:p>
    <w:p w14:paraId="6337A964"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Metrics and Validation Techniques</w:t>
      </w:r>
    </w:p>
    <w:p w14:paraId="696A5A0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Record the metrics and validation techniques used to evaluate model performance, data adequacy, and relationship inference accuracy, ensuring alignment with data governance policies.</w:t>
      </w:r>
    </w:p>
    <w:p w14:paraId="300CFD03"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D532B9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Model performance metrics and validation reports.</w:t>
      </w:r>
    </w:p>
    <w:p w14:paraId="7ABC0EF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Data validation reports assessing attribute quality and integrity.</w:t>
      </w:r>
    </w:p>
    <w:p w14:paraId="1B9785D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Documentation of cross-validation, sensitivity analysis, and robustness checks.</w:t>
      </w:r>
    </w:p>
    <w:p w14:paraId="1EF5FD5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Logs of model tuning and metric tracking over time.</w:t>
      </w:r>
    </w:p>
    <w:p w14:paraId="5E04DEF3"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BEA0324"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Periodic Review and Update of Documentation</w:t>
      </w:r>
    </w:p>
    <w:p w14:paraId="5B87676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Schedule regular reviews to update assumptions, limitations, techniques, and metrics, particularly as new data sources, methods, or system features evolve.</w:t>
      </w:r>
    </w:p>
    <w:p w14:paraId="7495ABE8"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CF0E1E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 schedules and meeting minutes.</w:t>
      </w:r>
    </w:p>
    <w:p w14:paraId="3017809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 histories of documents reflecting updates.</w:t>
      </w:r>
    </w:p>
    <w:p w14:paraId="10ACC54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from data scientists, model auditors, or governance reviews.</w:t>
      </w:r>
    </w:p>
    <w:p w14:paraId="4F18CC8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data governance policies incorporated into technical documentation.</w:t>
      </w:r>
    </w:p>
    <w:p w14:paraId="056BE098"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6F70C19A"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20" w:name="_Toc221016949"/>
      <w:r w:rsidRPr="00963E47">
        <w:rPr>
          <w:rFonts w:ascii="Aptos" w:eastAsia="Aptos" w:hAnsi="Aptos" w:cs="Times New Roman"/>
          <w:b/>
          <w:bCs/>
          <w:noProof/>
          <w:color w:val="35256B"/>
          <w:kern w:val="2"/>
          <w:sz w:val="24"/>
          <w14:ligatures w14:val="standardContextual"/>
        </w:rPr>
        <w:t>MEASURE / Methods and Metrics / External Assessment of Measurement Approaches</w:t>
      </w:r>
      <w:bookmarkEnd w:id="20"/>
      <w:r w:rsidRPr="00963E47">
        <w:rPr>
          <w:rFonts w:ascii="Aptos" w:eastAsia="Aptos" w:hAnsi="Aptos" w:cs="Times New Roman"/>
          <w:b/>
          <w:bCs/>
          <w:noProof/>
          <w:color w:val="35256B"/>
          <w:kern w:val="2"/>
          <w:sz w:val="24"/>
          <w14:ligatures w14:val="standardContextual"/>
        </w:rPr>
        <w:t xml:space="preserve"> </w:t>
      </w:r>
    </w:p>
    <w:p w14:paraId="53C011AD"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0A7306DF"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79DB5780"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1AE900C1" w14:textId="77777777" w:rsidTr="005C00A5">
        <w:tc>
          <w:tcPr>
            <w:tcW w:w="1170" w:type="dxa"/>
          </w:tcPr>
          <w:p w14:paraId="6EB8B612"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3F2DB20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57134FCB"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32E9A023" w14:textId="77777777" w:rsidTr="005C00A5">
        <w:tc>
          <w:tcPr>
            <w:tcW w:w="1170" w:type="dxa"/>
          </w:tcPr>
          <w:p w14:paraId="77CEB61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MS-1.3.1</w:t>
            </w:r>
          </w:p>
        </w:tc>
        <w:tc>
          <w:tcPr>
            <w:tcW w:w="2160" w:type="dxa"/>
          </w:tcPr>
          <w:p w14:paraId="502B8EBB"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Independent Expert Evaluation and Stakeholder Consultation</w:t>
            </w:r>
          </w:p>
        </w:tc>
        <w:tc>
          <w:tcPr>
            <w:tcW w:w="6740" w:type="dxa"/>
          </w:tcPr>
          <w:p w14:paraId="320F6CC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involves internal experts (external to front-line development) and independent assessors, including robust testing functions, in the regular assessment and updating of AI metrics and risk controls. Concurrently, it determines the need for consultation with domain experts, users, AI stakeholders external to the development team, and affected communities, based on risk appetite. This approach leverages multidisciplinary, unbiased insights to ensure a comprehensive understanding of potential impacts and the adequacy of risk management measures.</w:t>
            </w:r>
          </w:p>
          <w:p w14:paraId="14CD0E20" w14:textId="77777777" w:rsidR="00963E47" w:rsidRPr="00963E47" w:rsidRDefault="00963E47" w:rsidP="004C3837">
            <w:pPr>
              <w:keepNext/>
              <w:rPr>
                <w:rFonts w:ascii="Aptos" w:hAnsi="Aptos" w:cs="Times New Roman"/>
                <w:b/>
                <w:bCs/>
                <w:color w:val="000000"/>
                <w:sz w:val="20"/>
                <w:szCs w:val="20"/>
              </w:rPr>
            </w:pPr>
          </w:p>
          <w:p w14:paraId="19A39075" w14:textId="77777777" w:rsidR="00963E47" w:rsidRPr="00963E47" w:rsidRDefault="00963E47" w:rsidP="004C3837">
            <w:pPr>
              <w:keepNext/>
              <w:rPr>
                <w:rFonts w:ascii="Aptos" w:hAnsi="Aptos" w:cs="Times New Roman"/>
                <w:b/>
                <w:bCs/>
                <w:color w:val="000000"/>
                <w:sz w:val="20"/>
                <w:szCs w:val="20"/>
              </w:rPr>
            </w:pPr>
            <w:hyperlink r:id="rId32" w:anchor="measure-1-3" w:history="1">
              <w:r w:rsidRPr="00963E47">
                <w:rPr>
                  <w:rFonts w:ascii="Aptos" w:hAnsi="Aptos" w:cs="Times New Roman"/>
                  <w:color w:val="000000"/>
                  <w:sz w:val="20"/>
                  <w:szCs w:val="20"/>
                  <w:u w:val="single"/>
                </w:rPr>
                <w:t>Link to NIST AI RMF Playbook</w:t>
              </w:r>
            </w:hyperlink>
          </w:p>
        </w:tc>
      </w:tr>
    </w:tbl>
    <w:p w14:paraId="47B12B11"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72CE0889"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652A560B"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2C902297" w14:textId="77777777" w:rsidTr="005C00A5">
        <w:trPr>
          <w:tblHeader/>
        </w:trPr>
        <w:tc>
          <w:tcPr>
            <w:tcW w:w="2160" w:type="dxa"/>
            <w:shd w:val="clear" w:color="auto" w:fill="CCDCDC"/>
            <w:vAlign w:val="center"/>
          </w:tcPr>
          <w:p w14:paraId="2433E1F4"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75700E13"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66D8F732"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54E83644" w14:textId="77777777" w:rsidTr="005C00A5">
        <w:tc>
          <w:tcPr>
            <w:tcW w:w="2160" w:type="dxa"/>
            <w:shd w:val="clear" w:color="auto" w:fill="CCDCDC"/>
          </w:tcPr>
          <w:p w14:paraId="308BC423"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7CF03EE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7AA8CCC"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initial stage begin the foundational process of involving internal experts (separate from the development team) and/or independent assessors in the basic assessment of AI metrics and risk controls.</w:t>
            </w:r>
          </w:p>
        </w:tc>
      </w:tr>
      <w:tr w:rsidR="00963E47" w:rsidRPr="00963E47" w14:paraId="0A8625E0" w14:textId="77777777" w:rsidTr="005C00A5">
        <w:tc>
          <w:tcPr>
            <w:tcW w:w="2160" w:type="dxa"/>
            <w:shd w:val="clear" w:color="auto" w:fill="CCDCDC"/>
          </w:tcPr>
          <w:p w14:paraId="6B76A578"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41B6D378"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1DDB8B92"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 xml:space="preserve">At the minimal stage, organizations more formally involve internal experts and/or independent assessors in the assessment and update </w:t>
            </w:r>
            <w:r w:rsidRPr="00963E47">
              <w:rPr>
                <w:rFonts w:ascii="Aptos" w:hAnsi="Aptos" w:cs="Times New Roman"/>
                <w:noProof/>
                <w:color w:val="auto"/>
                <w:sz w:val="20"/>
                <w:szCs w:val="20"/>
              </w:rPr>
              <w:lastRenderedPageBreak/>
              <w:t>AI metrics and risk controls for their limited AI applications. This includes engaging a broader range of domain experts and users to gather multidisciplinary perspectives on the appropriateness and effectiveness of these controls.</w:t>
            </w:r>
          </w:p>
        </w:tc>
      </w:tr>
      <w:tr w:rsidR="00963E47" w:rsidRPr="00963E47" w14:paraId="141276DF" w14:textId="77777777" w:rsidTr="005C00A5">
        <w:tc>
          <w:tcPr>
            <w:tcW w:w="2160" w:type="dxa"/>
            <w:shd w:val="clear" w:color="auto" w:fill="CCDCDC"/>
          </w:tcPr>
          <w:p w14:paraId="5767C0F0"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lastRenderedPageBreak/>
              <w:t>Stage 3: Evolving</w:t>
            </w:r>
          </w:p>
        </w:tc>
        <w:tc>
          <w:tcPr>
            <w:tcW w:w="1350" w:type="dxa"/>
          </w:tcPr>
          <w:p w14:paraId="4261AAB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7DF7EDB"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consistently involve internal experts who were not part of the front-line development team and/or independent assessors in the regular assessment and updating of AI metrics and risk controls, leveraging their insights for an unbiased evaluation. This includes engaging domain experts, users, and other relevant AI stakeholders external to the development and deployment team to gather multidisciplinary perspectives on the appropriateness and effectiveness of AI metrics and risk controls.</w:t>
            </w:r>
          </w:p>
        </w:tc>
      </w:tr>
      <w:tr w:rsidR="00963E47" w:rsidRPr="00963E47" w14:paraId="42A056E8" w14:textId="77777777" w:rsidTr="005C00A5">
        <w:tc>
          <w:tcPr>
            <w:tcW w:w="2160" w:type="dxa"/>
            <w:shd w:val="clear" w:color="auto" w:fill="CCDCDC"/>
          </w:tcPr>
          <w:p w14:paraId="2366FE4A"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413615F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2F60165"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embedded stage have advanced, automated processes for seamlessly involving internal experts who were not part of the front-line development team and/or independent assessors in the continuous assessment and updating of AI metrics and risk controls, with real-time leveraging of their insights for an unbiased evaluation based on data-driven insights. The engagement of domain experts, users, and other relevant AI stakeholders external to the development and deployment team is deeply integrated into these processes, ensuring the highest level of multidisciplinary perspectives, appropriateness, and effectiveness of AI metrics and risk controls.</w:t>
            </w:r>
          </w:p>
        </w:tc>
      </w:tr>
    </w:tbl>
    <w:p w14:paraId="1C32EC9B"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4A03922F" w14:textId="77777777" w:rsidTr="005C00A5">
        <w:tc>
          <w:tcPr>
            <w:tcW w:w="2250" w:type="dxa"/>
          </w:tcPr>
          <w:p w14:paraId="68ABC67B"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20EA442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5645ACD0"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4B5DD771" w14:textId="77777777" w:rsidTr="005C00A5">
        <w:tc>
          <w:tcPr>
            <w:tcW w:w="2250" w:type="dxa"/>
          </w:tcPr>
          <w:p w14:paraId="060C012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Explainable &amp; Interpretable</w:t>
            </w:r>
          </w:p>
        </w:tc>
        <w:tc>
          <w:tcPr>
            <w:tcW w:w="2520" w:type="dxa"/>
          </w:tcPr>
          <w:p w14:paraId="1593D942"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Inadequate Independent Review and Stakeholder Consultation</w:t>
            </w:r>
          </w:p>
        </w:tc>
        <w:tc>
          <w:tcPr>
            <w:tcW w:w="5300" w:type="dxa"/>
          </w:tcPr>
          <w:p w14:paraId="64026808"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Independent experts are not involved in AI metrics and risk controls, or stakeholder consultation is insufficient</w:t>
            </w:r>
          </w:p>
        </w:tc>
      </w:tr>
    </w:tbl>
    <w:p w14:paraId="6A1EF06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FF97DE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615FE2A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368620E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Identify and engage internal experts (e.g., risk management, legal, compliance, independent testing functions) who were not part of the front-line development team, to participate in the regular assessment and updating of AI metrics and risk controls. Establish processes for involving independent assessors, such as third-party auditors or dedicated testing units with clear authority and independence, defining clear selection criteria based on expertise, reputation, and independence.</w:t>
      </w:r>
    </w:p>
    <w:p w14:paraId="52A99676"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4EFE047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Determine the need for consultation with domain experts, users, AI stakeholders external to the development and deployment team, and affected communities during assessments, aligning with the organization's risk appetite and tolerance. Identify specific stakeholder groups based on the AI system's nature, potential impact, and risk management priorities.</w:t>
      </w:r>
    </w:p>
    <w:p w14:paraId="01FDE34F"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0406094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Develop a comprehensive framework for collaboration among internal experts, independent assessors, and the AI development/deployment team. Concurrently, create stakeholder engagement plans outlining methods and frequency of consultation, considering system complexity, potential adverse impacts, and stakeholder interest. Establish clear communication channels and feedback mechanisms to effectively capture and incorporate all expert and stakeholder input into the assessment process.</w:t>
      </w:r>
    </w:p>
    <w:p w14:paraId="769E5F0D"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34B17564"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lastRenderedPageBreak/>
        <w:t xml:space="preserve">Example Controls and Evidence: </w:t>
      </w:r>
    </w:p>
    <w:p w14:paraId="16F15BD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445C1646"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Independent Expert Assessment of AI Metrics</w:t>
      </w:r>
    </w:p>
    <w:p w14:paraId="1BCF61D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Engage independent experts to conduct regular evaluations of AI performance metrics and risk controls, ensuring objectivity and adherence to industry best practices in risk management.</w:t>
      </w:r>
    </w:p>
    <w:p w14:paraId="7DE9F40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1342EEA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Reports detailing the findings from independent assessments of AI metrics.</w:t>
      </w:r>
    </w:p>
    <w:p w14:paraId="09CB701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Documentation of metrics evaluated, including historical comparisons and performance trends.</w:t>
      </w:r>
    </w:p>
    <w:p w14:paraId="5C97E4E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expert qualifications, including credentials and areas of expertise.</w:t>
      </w:r>
    </w:p>
    <w:p w14:paraId="4A34E40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Action plans developed in response to expert recommendations, including implementation timelines.</w:t>
      </w:r>
    </w:p>
    <w:p w14:paraId="6A1DD622"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5ACC985"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Stakeholder Consultation Framework</w:t>
      </w:r>
    </w:p>
    <w:p w14:paraId="20BBADC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a framework for consulting with stakeholders, including domain experts, users, and affected communities, to gather insights and feedback on AI system performance and associated risks.</w:t>
      </w:r>
    </w:p>
    <w:p w14:paraId="5B05DF64"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B57D91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Consultation plans that outline stakeholder engagement strategies and timelines.</w:t>
      </w:r>
    </w:p>
    <w:p w14:paraId="4430386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Minutes or summaries of meetings held with stakeholders detailing discussions and insights.</w:t>
      </w:r>
    </w:p>
    <w:p w14:paraId="08F164C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surveys distributed to stakeholders, including analysis of responses received.</w:t>
      </w:r>
    </w:p>
    <w:p w14:paraId="2FB2C13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Documentation of how stakeholder feedback influenced risk management decisions or practices.</w:t>
      </w:r>
    </w:p>
    <w:p w14:paraId="77AC106E"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EFF52E9"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Comprehensive Risk Assessment Processes</w:t>
      </w:r>
    </w:p>
    <w:p w14:paraId="441C6D5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 robust risk assessment processes that involve multidisciplinary teams, including both internal experts and independent assessors, to evaluate potential impacts and effectiveness of existing risk controls.</w:t>
      </w:r>
    </w:p>
    <w:p w14:paraId="119C75E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A63249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assessment reports generated from team evaluations, including methodologies used.</w:t>
      </w:r>
    </w:p>
    <w:p w14:paraId="087E6A6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matrix or dashboard tracking identified risks versus implemented controls.</w:t>
      </w:r>
    </w:p>
    <w:p w14:paraId="74C4ACD5"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Records of team composition, including roles and expertise areas represented in assessments.</w:t>
      </w:r>
    </w:p>
    <w:p w14:paraId="3827692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Follow-up actions taken based on assessment results, with corresponding documentation.</w:t>
      </w:r>
    </w:p>
    <w:p w14:paraId="5AF9EE15"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12F9191"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Training and Development for Expert Evaluators</w:t>
      </w:r>
    </w:p>
    <w:p w14:paraId="58F03DC4"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Provide ongoing training and professional development for internal experts to ensure they remain knowledgeable about the latest trends, challenges, and best practices in AI risk management and assessment.</w:t>
      </w:r>
    </w:p>
    <w:p w14:paraId="137E7D18"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691C2F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materials and agendas used in professional development sessions for experts.</w:t>
      </w:r>
    </w:p>
    <w:p w14:paraId="50F1F90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Attendance records showing participation in training programs and workshops.</w:t>
      </w:r>
    </w:p>
    <w:p w14:paraId="6DEBD72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from participants regarding the relevance and effectiveness of training provided.</w:t>
      </w:r>
    </w:p>
    <w:p w14:paraId="0BAA3AA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Certifications or qualifications obtained by internal experts through completed training.</w:t>
      </w:r>
    </w:p>
    <w:p w14:paraId="1C97FA59" w14:textId="77777777" w:rsidR="00963E47" w:rsidRPr="00963E47" w:rsidRDefault="00963E47" w:rsidP="004C3837">
      <w:pPr>
        <w:rPr>
          <w:rFonts w:ascii="Aptos" w:eastAsia="Aptos" w:hAnsi="Aptos" w:cs="Times New Roman"/>
          <w:color w:val="auto"/>
          <w:kern w:val="2"/>
          <w:sz w:val="20"/>
          <w:szCs w:val="20"/>
          <w14:ligatures w14:val="standardContextual"/>
        </w:rPr>
      </w:pPr>
    </w:p>
    <w:p w14:paraId="0D6BE33B"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Documentation and Review of Consultation Outcomes</w:t>
      </w:r>
    </w:p>
    <w:p w14:paraId="7EF8F91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Maintain comprehensive documentation of all stakeholder consultations and expert evaluations, regularly reviewing outcomes to enhance risk management practices and adapt to evolving contexts.</w:t>
      </w:r>
    </w:p>
    <w:p w14:paraId="3077E894"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32242B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Comprehensive records of consultation sessions, including participant lists and discussion points.</w:t>
      </w:r>
    </w:p>
    <w:p w14:paraId="5466553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Evaluation reports summarizing the integration of stakeholder input into AI system design or risk management.</w:t>
      </w:r>
    </w:p>
    <w:p w14:paraId="74E0576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Change logs that detail modifications made to risk controls based on expert and stakeholder feedback.</w:t>
      </w:r>
    </w:p>
    <w:p w14:paraId="5D8515C1"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Reviews conducted on the effectiveness of consultation processes, including actions taken to address identified gaps.</w:t>
      </w:r>
    </w:p>
    <w:p w14:paraId="0ED799A8" w14:textId="77777777" w:rsidR="005E2FCC" w:rsidRDefault="005E2FCC"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2D4D12E8" w14:textId="42534053"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21" w:name="_Toc221016950"/>
      <w:r w:rsidRPr="00963E47">
        <w:rPr>
          <w:rFonts w:ascii="Aptos" w:eastAsia="Aptos" w:hAnsi="Aptos" w:cs="Times New Roman"/>
          <w:b/>
          <w:bCs/>
          <w:noProof/>
          <w:color w:val="35256B"/>
          <w:kern w:val="2"/>
          <w:sz w:val="24"/>
          <w14:ligatures w14:val="standardContextual"/>
        </w:rPr>
        <w:t>MEASURE / Evaluating AI Systems / Measuring Privacy</w:t>
      </w:r>
      <w:bookmarkEnd w:id="21"/>
      <w:r w:rsidRPr="00963E47">
        <w:rPr>
          <w:rFonts w:ascii="Aptos" w:eastAsia="Aptos" w:hAnsi="Aptos" w:cs="Times New Roman"/>
          <w:b/>
          <w:bCs/>
          <w:noProof/>
          <w:color w:val="35256B"/>
          <w:kern w:val="2"/>
          <w:sz w:val="24"/>
          <w14:ligatures w14:val="standardContextual"/>
        </w:rPr>
        <w:t xml:space="preserve"> </w:t>
      </w:r>
    </w:p>
    <w:p w14:paraId="00DB092E"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6DFBD45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710E1B5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37A2CC9A" w14:textId="77777777" w:rsidTr="005C00A5">
        <w:tc>
          <w:tcPr>
            <w:tcW w:w="1170" w:type="dxa"/>
          </w:tcPr>
          <w:p w14:paraId="453CE401"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4C03C1C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472D8060"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239A9711" w14:textId="77777777" w:rsidTr="005C00A5">
        <w:tc>
          <w:tcPr>
            <w:tcW w:w="1170" w:type="dxa"/>
          </w:tcPr>
          <w:p w14:paraId="7B8FEEBB"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MS-2.10.1</w:t>
            </w:r>
          </w:p>
        </w:tc>
        <w:tc>
          <w:tcPr>
            <w:tcW w:w="2160" w:type="dxa"/>
          </w:tcPr>
          <w:p w14:paraId="5BC68460"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Initial Privacy Risk Assessment</w:t>
            </w:r>
          </w:p>
        </w:tc>
        <w:tc>
          <w:tcPr>
            <w:tcW w:w="6740" w:type="dxa"/>
          </w:tcPr>
          <w:p w14:paraId="69D14E3C"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conducts an initial examination of the privacy risks associated with its AI systems, as identified during the MAP function, and documents the results of this examination, including any identified privacy issues, concerns, or potential violations specific to AI systems. It establishes accountability mechanisms for managing AI-related privacy risks and incidents, such as data breaches or unauthorized access, and assigns clear roles and responsibilities for privacy risk management.</w:t>
            </w:r>
          </w:p>
          <w:p w14:paraId="1DB33B33" w14:textId="77777777" w:rsidR="00963E47" w:rsidRPr="00963E47" w:rsidRDefault="00963E47" w:rsidP="004C3837">
            <w:pPr>
              <w:keepNext/>
              <w:rPr>
                <w:rFonts w:ascii="Aptos" w:hAnsi="Aptos" w:cs="Times New Roman"/>
                <w:b/>
                <w:bCs/>
                <w:color w:val="000000"/>
                <w:sz w:val="20"/>
                <w:szCs w:val="20"/>
              </w:rPr>
            </w:pPr>
          </w:p>
          <w:p w14:paraId="7FF2E07A" w14:textId="77777777" w:rsidR="00963E47" w:rsidRPr="00963E47" w:rsidRDefault="00963E47" w:rsidP="004C3837">
            <w:pPr>
              <w:keepNext/>
              <w:rPr>
                <w:rFonts w:ascii="Aptos" w:hAnsi="Aptos" w:cs="Times New Roman"/>
                <w:b/>
                <w:bCs/>
                <w:color w:val="000000"/>
                <w:sz w:val="20"/>
                <w:szCs w:val="20"/>
              </w:rPr>
            </w:pPr>
            <w:hyperlink r:id="rId33" w:anchor="measure-2-10" w:history="1">
              <w:r w:rsidRPr="00963E47">
                <w:rPr>
                  <w:rFonts w:ascii="Aptos" w:hAnsi="Aptos" w:cs="Times New Roman"/>
                  <w:color w:val="000000"/>
                  <w:sz w:val="20"/>
                  <w:szCs w:val="20"/>
                  <w:u w:val="single"/>
                </w:rPr>
                <w:t>Link to NIST AI RMF Playbook</w:t>
              </w:r>
            </w:hyperlink>
          </w:p>
        </w:tc>
      </w:tr>
    </w:tbl>
    <w:p w14:paraId="7CA22CA2"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74972B4C"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66650AE7"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6E1476A3" w14:textId="77777777" w:rsidTr="005C00A5">
        <w:trPr>
          <w:tblHeader/>
        </w:trPr>
        <w:tc>
          <w:tcPr>
            <w:tcW w:w="2160" w:type="dxa"/>
            <w:shd w:val="clear" w:color="auto" w:fill="CCDCDC"/>
            <w:vAlign w:val="center"/>
          </w:tcPr>
          <w:p w14:paraId="4D602957"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7D1EDE3F"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24410974"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51227FB2" w14:textId="77777777" w:rsidTr="005C00A5">
        <w:tc>
          <w:tcPr>
            <w:tcW w:w="2160" w:type="dxa"/>
            <w:shd w:val="clear" w:color="auto" w:fill="CCDCDC"/>
          </w:tcPr>
          <w:p w14:paraId="221840B4"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17770C0A"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D159C85"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initial stage conduct an initial examination of the privacy risks associated with their AI systems. They document the results of this examination, including any identified privacy issues, concerns, or potential violations specific to AI systems and establish basic accountability mechanisms for managing AI-related privacy risks.</w:t>
            </w:r>
          </w:p>
        </w:tc>
      </w:tr>
      <w:tr w:rsidR="00963E47" w:rsidRPr="00963E47" w14:paraId="0FF2CA2F" w14:textId="77777777" w:rsidTr="005C00A5">
        <w:tc>
          <w:tcPr>
            <w:tcW w:w="2160" w:type="dxa"/>
            <w:shd w:val="clear" w:color="auto" w:fill="CCDCDC"/>
          </w:tcPr>
          <w:p w14:paraId="3389A04A"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41D6FB71"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6F78FF9B"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minimal stage conduct a more detailed examination of the privacy risks associated with their AI systems. They document any identified privacy issues, concerns, or potential violations specific to AI systems and establish accountability mechanisms for managing AI-related privacy risks and incidents.</w:t>
            </w:r>
          </w:p>
        </w:tc>
      </w:tr>
      <w:tr w:rsidR="00963E47" w:rsidRPr="00963E47" w14:paraId="6BCE1EA6" w14:textId="77777777" w:rsidTr="005C00A5">
        <w:tc>
          <w:tcPr>
            <w:tcW w:w="2160" w:type="dxa"/>
            <w:shd w:val="clear" w:color="auto" w:fill="CCDCDC"/>
          </w:tcPr>
          <w:p w14:paraId="70431DB3"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59D757CF"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5507CBD"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conduct an initial examination of the privacy risks associated with their AI systems, as identified during the MAP function, and comprehensively document the results of this examination, including any identified privacy issues, concerns, or potential violations specific to AI systems. The organization establishes accountability mechanisms for managing AI-related privacy risks and incidents, such as data breaches or unauthorized access, and assigns clear roles and responsibilities for privacy risk management.</w:t>
            </w:r>
          </w:p>
        </w:tc>
      </w:tr>
      <w:tr w:rsidR="00963E47" w:rsidRPr="00963E47" w14:paraId="6BF01AC8" w14:textId="77777777" w:rsidTr="005C00A5">
        <w:tc>
          <w:tcPr>
            <w:tcW w:w="2160" w:type="dxa"/>
            <w:shd w:val="clear" w:color="auto" w:fill="CCDCDC"/>
          </w:tcPr>
          <w:p w14:paraId="5D7AA4CA"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4510B52C"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2D032005"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 xml:space="preserve">Organizations at the embedded stage have advanced, automated processes for continuously conducting an initial examination of the privacy risks associated with their AI systems, as identified during the MAP function, and dynamically documenting the results of this examination, including any identified privacy issues, concerns, or potential violations specific to AI systems, with real-time updates based on data-driven insights. The organization establishes accountability mechanisms for managing AI-related privacy risks and incidents, such as data breaches or unauthorized access, and assigns clear roles and responsibilities for privacy risk management, ensuring </w:t>
            </w:r>
            <w:r w:rsidRPr="00963E47">
              <w:rPr>
                <w:rFonts w:ascii="Aptos" w:hAnsi="Aptos" w:cs="Times New Roman"/>
                <w:noProof/>
                <w:color w:val="auto"/>
                <w:sz w:val="20"/>
                <w:szCs w:val="20"/>
              </w:rPr>
              <w:lastRenderedPageBreak/>
              <w:t>the highest level of proactive privacy risk identification and management.</w:t>
            </w:r>
          </w:p>
        </w:tc>
      </w:tr>
    </w:tbl>
    <w:p w14:paraId="754068FC"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7D941260" w14:textId="77777777" w:rsidTr="005C00A5">
        <w:tc>
          <w:tcPr>
            <w:tcW w:w="2250" w:type="dxa"/>
          </w:tcPr>
          <w:p w14:paraId="43086EF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3596482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615B107A"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005541D8" w14:textId="77777777" w:rsidTr="005C00A5">
        <w:tc>
          <w:tcPr>
            <w:tcW w:w="2250" w:type="dxa"/>
          </w:tcPr>
          <w:p w14:paraId="3491E8F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Privacy-Enhanced</w:t>
            </w:r>
          </w:p>
        </w:tc>
        <w:tc>
          <w:tcPr>
            <w:tcW w:w="2520" w:type="dxa"/>
          </w:tcPr>
          <w:p w14:paraId="5CA2D10D"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Unexamined Privacy Risks</w:t>
            </w:r>
          </w:p>
        </w:tc>
        <w:tc>
          <w:tcPr>
            <w:tcW w:w="5300" w:type="dxa"/>
          </w:tcPr>
          <w:p w14:paraId="6D3AB597"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Privacy risks are not examined, documented, or managed for AI systems</w:t>
            </w:r>
          </w:p>
        </w:tc>
      </w:tr>
    </w:tbl>
    <w:p w14:paraId="61CBA2C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C31A08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76E89EF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527DCA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Establish a process for conducting an initial examination of the privacy risks associated with AI systems, as identified during the MAP function. Develop a standardized methodology for this examination, including criteria for evaluating the severity and likelihood of identified privacy issues, concerns, or potential violations specific to AI systems.</w:t>
      </w:r>
    </w:p>
    <w:p w14:paraId="7548A1A5"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7E6E32DF"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Document the results of the initial privacy risk examination, including a clear description of each identified risk, its potential impact on individuals and the organization, and any recommended mitigation strategies. Establish accountability mechanisms for managing AI-related privacy risks and incidents, such as data breaches or unauthorized access, and assign clear roles and responsibilities for privacy risk management to ensure that identified risks are properly addressed.</w:t>
      </w:r>
    </w:p>
    <w:p w14:paraId="64A27FA2"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490755F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397A0F6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1AAE4D2C"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Conduct of a Formal Privacy Risk Examination</w:t>
      </w:r>
    </w:p>
    <w:p w14:paraId="2BD3478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 and execute a structured process to evaluate privacy risks associated with AI systems, focusing on data handling, consent, access controls, and potential privacy violations.</w:t>
      </w:r>
    </w:p>
    <w:p w14:paraId="636C0F3C"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391610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Privacy risk assessment protocols aligned with privacy standards and legal requirements.</w:t>
      </w:r>
    </w:p>
    <w:p w14:paraId="3B449A3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Documentation of identified privacy issues, concerns, or violations specific to AI.</w:t>
      </w:r>
    </w:p>
    <w:p w14:paraId="51DD2B2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registers highlighting privacy vulnerabilities.</w:t>
      </w:r>
    </w:p>
    <w:p w14:paraId="2CCDB56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Version-controlled examination reports.</w:t>
      </w:r>
    </w:p>
    <w:p w14:paraId="6AB55E19"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AE7E6EF"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Documentation of Privacy Risks and Concerns</w:t>
      </w:r>
    </w:p>
    <w:p w14:paraId="3D933059"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Record findings related to privacy issues, potential violations, and concerns, with detailed descriptions, risk levels, and contextual information to create a comprehensive understanding of the privacy landscape surrounding AI systems.</w:t>
      </w:r>
    </w:p>
    <w:p w14:paraId="52B291C9"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78FA27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Privacy risk logs with descriptions, severity, and affected data or individuals.</w:t>
      </w:r>
    </w:p>
    <w:p w14:paraId="4C59606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Impact analysis reports on privacy violations or potential breaches.</w:t>
      </w:r>
    </w:p>
    <w:p w14:paraId="1BD4958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Data flow diagrams illustrating privacy-sensitive data.</w:t>
      </w:r>
    </w:p>
    <w:p w14:paraId="45793FC6" w14:textId="77777777" w:rsidR="00963E47" w:rsidRPr="00963E47" w:rsidRDefault="00963E47" w:rsidP="004C3837">
      <w:pPr>
        <w:rPr>
          <w:rFonts w:ascii="Aptos" w:eastAsia="Aptos" w:hAnsi="Aptos" w:cs="Times New Roman"/>
          <w:color w:val="auto"/>
          <w:kern w:val="2"/>
          <w:sz w:val="20"/>
          <w:szCs w:val="20"/>
          <w14:ligatures w14:val="standardContextual"/>
        </w:rPr>
      </w:pPr>
    </w:p>
    <w:p w14:paraId="57905FB4"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Establishment of Accountability Mechanisms</w:t>
      </w:r>
    </w:p>
    <w:p w14:paraId="58B44EE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Define and formalize accountability structures and procedures for managing AI-related privacy risks, including incident response, breach management, and data security protocols to ensure preparedness and effective handling of privacy incidents.</w:t>
      </w:r>
    </w:p>
    <w:p w14:paraId="184333C8"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652646E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Privacy governance policies detailing roles and responsibilities.</w:t>
      </w:r>
    </w:p>
    <w:p w14:paraId="087B4EE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Incident response plans specific to privacy breaches.</w:t>
      </w:r>
    </w:p>
    <w:p w14:paraId="7D8DFFB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Appointment letters or role descriptions for privacy officers or data protection officers.</w:t>
      </w:r>
    </w:p>
    <w:p w14:paraId="4B9780CB"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Escalation and communication protocols for privacy incidents.</w:t>
      </w:r>
    </w:p>
    <w:p w14:paraId="0E34D4E0"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BD742C9"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Clear Assignment of Roles and Responsibilities</w:t>
      </w:r>
    </w:p>
    <w:p w14:paraId="2C29CF5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Assign specific roles for privacy risk management, including monitoring, enforcement, incident investigation, and reporting, with documented responsibilities to clarify expectations and promote accountability across the organization.</w:t>
      </w:r>
    </w:p>
    <w:p w14:paraId="5B0430E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AD4976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Responsibility matrices or RACI charts.</w:t>
      </w:r>
    </w:p>
    <w:p w14:paraId="58C259C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Training records emphasizing privacy responsibilities.</w:t>
      </w:r>
    </w:p>
    <w:p w14:paraId="32FB536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Standard operating procedures (SOPs) for privacy incident handling.</w:t>
      </w:r>
    </w:p>
    <w:p w14:paraId="6EBB790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Role-specific KPIs linked to privacy management.</w:t>
      </w:r>
    </w:p>
    <w:p w14:paraId="291EB685"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A4CCFFB"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Ongoing Monitoring, Review, and Improvement</w:t>
      </w:r>
    </w:p>
    <w:p w14:paraId="0FD3847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Regularly revisit privacy risk assessments, incident management procedures, and roles to incorporate lessons learned, policy updates, and evolving threats, ensuring dynamic risk management that adapts to changing circumstances and improves overall privacy protection.</w:t>
      </w:r>
    </w:p>
    <w:p w14:paraId="408E5AA5"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0383E5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Review schedules and meeting minutes with updates.</w:t>
      </w:r>
    </w:p>
    <w:p w14:paraId="78BD482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Incident logs and post-incident reports to inform improvements.</w:t>
      </w:r>
    </w:p>
    <w:p w14:paraId="10850BB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policies and procedures reflecting new risks or standards.</w:t>
      </w:r>
    </w:p>
    <w:p w14:paraId="5B1FD495"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from stakeholders on privacy risk handling effectiveness.</w:t>
      </w:r>
    </w:p>
    <w:p w14:paraId="6F2B3530"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36ED706F" w14:textId="77777777"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22" w:name="_Toc221016951"/>
      <w:r w:rsidRPr="00963E47">
        <w:rPr>
          <w:rFonts w:ascii="Aptos" w:eastAsia="Aptos" w:hAnsi="Aptos" w:cs="Times New Roman"/>
          <w:b/>
          <w:bCs/>
          <w:noProof/>
          <w:color w:val="35256B"/>
          <w:kern w:val="2"/>
          <w:sz w:val="24"/>
          <w14:ligatures w14:val="standardContextual"/>
        </w:rPr>
        <w:t>MEASURE / Evaluating AI Systems / Measuring Nondiscrimination</w:t>
      </w:r>
      <w:bookmarkEnd w:id="22"/>
      <w:r w:rsidRPr="00963E47">
        <w:rPr>
          <w:rFonts w:ascii="Aptos" w:eastAsia="Aptos" w:hAnsi="Aptos" w:cs="Times New Roman"/>
          <w:b/>
          <w:bCs/>
          <w:noProof/>
          <w:color w:val="35256B"/>
          <w:kern w:val="2"/>
          <w:sz w:val="24"/>
          <w14:ligatures w14:val="standardContextual"/>
        </w:rPr>
        <w:t xml:space="preserve"> </w:t>
      </w:r>
    </w:p>
    <w:p w14:paraId="4DFF2199"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4FB8CB2A"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7F56E943"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2B4B0C76" w14:textId="77777777" w:rsidTr="005C00A5">
        <w:tc>
          <w:tcPr>
            <w:tcW w:w="1170" w:type="dxa"/>
          </w:tcPr>
          <w:p w14:paraId="443FBBD5"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5C15A40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4542B5F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0C22C785" w14:textId="77777777" w:rsidTr="005C00A5">
        <w:tc>
          <w:tcPr>
            <w:tcW w:w="1170" w:type="dxa"/>
          </w:tcPr>
          <w:p w14:paraId="7929D4E5"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MS-2.11.1</w:t>
            </w:r>
          </w:p>
        </w:tc>
        <w:tc>
          <w:tcPr>
            <w:tcW w:w="2160" w:type="dxa"/>
          </w:tcPr>
          <w:p w14:paraId="54D940B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Context-Specific Fairness and Bias Evaluation</w:t>
            </w:r>
          </w:p>
        </w:tc>
        <w:tc>
          <w:tcPr>
            <w:tcW w:w="6740" w:type="dxa"/>
          </w:tcPr>
          <w:p w14:paraId="2D947922"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conducts evaluations of fairness and bias in its AI systems, focusing on any regulatory requirements and the risks and potential impacts identified during the MAP function. The organization employs techniques and tools to assess fairness and bias, examining potential sources of bias throughout the AI lifecycle, including systemic bias, statistical and computational bias, and human cognitive bias. Based on the evaluation results, the organization develops and implements strategies to mitigate or manage identified biases and fairness issues. The organization documents the results of its fairness and bias evaluations, including identified issues and mitigation strategies.</w:t>
            </w:r>
          </w:p>
          <w:p w14:paraId="33F7E039" w14:textId="77777777" w:rsidR="00963E47" w:rsidRPr="00963E47" w:rsidRDefault="00963E47" w:rsidP="004C3837">
            <w:pPr>
              <w:keepNext/>
              <w:rPr>
                <w:rFonts w:ascii="Aptos" w:hAnsi="Aptos" w:cs="Times New Roman"/>
                <w:b/>
                <w:bCs/>
                <w:color w:val="000000"/>
                <w:sz w:val="20"/>
                <w:szCs w:val="20"/>
              </w:rPr>
            </w:pPr>
          </w:p>
          <w:p w14:paraId="4761C080" w14:textId="77777777" w:rsidR="00963E47" w:rsidRPr="00963E47" w:rsidRDefault="00963E47" w:rsidP="004C3837">
            <w:pPr>
              <w:keepNext/>
              <w:rPr>
                <w:rFonts w:ascii="Aptos" w:hAnsi="Aptos" w:cs="Times New Roman"/>
                <w:b/>
                <w:bCs/>
                <w:color w:val="000000"/>
                <w:sz w:val="20"/>
                <w:szCs w:val="20"/>
              </w:rPr>
            </w:pPr>
            <w:hyperlink r:id="rId34" w:anchor="measure-2-11" w:history="1">
              <w:r w:rsidRPr="00963E47">
                <w:rPr>
                  <w:rFonts w:ascii="Aptos" w:hAnsi="Aptos" w:cs="Times New Roman"/>
                  <w:color w:val="000000"/>
                  <w:sz w:val="20"/>
                  <w:szCs w:val="20"/>
                  <w:u w:val="single"/>
                </w:rPr>
                <w:t>Link to NIST AI RMF Playbook</w:t>
              </w:r>
            </w:hyperlink>
          </w:p>
        </w:tc>
      </w:tr>
    </w:tbl>
    <w:p w14:paraId="2D4CE4B4"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79EE8762"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4ECCAB11"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78BD5797" w14:textId="77777777" w:rsidTr="005C00A5">
        <w:trPr>
          <w:tblHeader/>
        </w:trPr>
        <w:tc>
          <w:tcPr>
            <w:tcW w:w="2160" w:type="dxa"/>
            <w:shd w:val="clear" w:color="auto" w:fill="CCDCDC"/>
            <w:vAlign w:val="center"/>
          </w:tcPr>
          <w:p w14:paraId="1CCB9DBE"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4A6F5172"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2B9470EF"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5B29A53F" w14:textId="77777777" w:rsidTr="005C00A5">
        <w:tc>
          <w:tcPr>
            <w:tcW w:w="2160" w:type="dxa"/>
            <w:shd w:val="clear" w:color="auto" w:fill="CCDCDC"/>
          </w:tcPr>
          <w:p w14:paraId="12D622BC"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3BFF48E9"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4B9CD87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initial stage, organizations begin to conduct a preliminary evaluation of fairness and bias in their AI systems, even if limited in scope. They employ basic techniques to identify potential sources of bias, and document the results. Establishing this awareness early is crucial, even if formal mitigation strategies aren't immediately implemented.</w:t>
            </w:r>
          </w:p>
        </w:tc>
      </w:tr>
      <w:tr w:rsidR="00963E47" w:rsidRPr="00963E47" w14:paraId="50EE2BC8" w14:textId="77777777" w:rsidTr="005C00A5">
        <w:tc>
          <w:tcPr>
            <w:tcW w:w="2160" w:type="dxa"/>
            <w:shd w:val="clear" w:color="auto" w:fill="CCDCDC"/>
          </w:tcPr>
          <w:p w14:paraId="67B5556D"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329B13E2"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0256A46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 xml:space="preserve">Organizations at the minimal stage conduct initial evaluations of fairness and bias on its AI systems. They employ simple techniques and tools to assess fairness and bias and begin examining potential </w:t>
            </w:r>
            <w:r w:rsidRPr="00963E47">
              <w:rPr>
                <w:rFonts w:ascii="Aptos" w:hAnsi="Aptos" w:cs="Times New Roman"/>
                <w:noProof/>
                <w:color w:val="auto"/>
                <w:sz w:val="20"/>
                <w:szCs w:val="20"/>
              </w:rPr>
              <w:lastRenderedPageBreak/>
              <w:t>sources of bias throughout the AI lifecycle. Based on these preliminary evaluation results, organizations start to develop and implement basic strategies to mitigate or manage identified biases and fairness issues, and document the results of its fairness and bias evaluations.</w:t>
            </w:r>
          </w:p>
        </w:tc>
      </w:tr>
      <w:tr w:rsidR="00963E47" w:rsidRPr="00963E47" w14:paraId="40AE26B9" w14:textId="77777777" w:rsidTr="005C00A5">
        <w:tc>
          <w:tcPr>
            <w:tcW w:w="2160" w:type="dxa"/>
            <w:shd w:val="clear" w:color="auto" w:fill="CCDCDC"/>
          </w:tcPr>
          <w:p w14:paraId="5C12771E"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lastRenderedPageBreak/>
              <w:t>Stage 3: Evolving</w:t>
            </w:r>
          </w:p>
        </w:tc>
        <w:tc>
          <w:tcPr>
            <w:tcW w:w="1350" w:type="dxa"/>
          </w:tcPr>
          <w:p w14:paraId="4B70941D"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8EEEAB0"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consistently conduct evaluations of fairness and bias in their AI systems, focusing on the risks and potential impacts identified during the MAP function. The organization employs techniques and tools to assess fairness and bias, examining potential sources of bias throughout the AI lifecycle. Based on the evaluation results, the organization develops and implements strategies to mitigate or manage identified biases and fairness issues. The organization comprehensively documents the results of its fairness and bias evaluations, including identified issues and mitigation strategies.</w:t>
            </w:r>
          </w:p>
        </w:tc>
      </w:tr>
      <w:tr w:rsidR="00963E47" w:rsidRPr="00963E47" w14:paraId="4673C67A" w14:textId="77777777" w:rsidTr="005C00A5">
        <w:tc>
          <w:tcPr>
            <w:tcW w:w="2160" w:type="dxa"/>
            <w:shd w:val="clear" w:color="auto" w:fill="CCDCDC"/>
          </w:tcPr>
          <w:p w14:paraId="7410574D"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31F22BD8"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3288D583"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embedded stage have advanced, automated processes for continuously conducting evaluations of fairness and bias in their AI systems, focusing on the risks and potential impacts identified during the MAP function, with real-time employment of techniques and tools to assess fairness and bias, examining potential sources of bias throughout the AI lifecycle based on data-driven insights. Based on the evaluation results, the organization dynamically develops and implements strategies to mitigate or manage identified biases and fairness issues. The organization dynamically documents the results of its fairness and bias evaluations, including identified issues and mitigation strategies, ensuring the highest level of proactive fairness and bias assessment and management.</w:t>
            </w:r>
          </w:p>
        </w:tc>
      </w:tr>
    </w:tbl>
    <w:p w14:paraId="6291FF86"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10393B42" w14:textId="77777777" w:rsidTr="005C00A5">
        <w:tc>
          <w:tcPr>
            <w:tcW w:w="2250" w:type="dxa"/>
          </w:tcPr>
          <w:p w14:paraId="1604A348"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4AF8AE56"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41450763"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1E3E1EF7" w14:textId="77777777" w:rsidTr="005C00A5">
        <w:tc>
          <w:tcPr>
            <w:tcW w:w="2250" w:type="dxa"/>
          </w:tcPr>
          <w:p w14:paraId="7EA301BA"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Fair</w:t>
            </w:r>
          </w:p>
        </w:tc>
        <w:tc>
          <w:tcPr>
            <w:tcW w:w="2520" w:type="dxa"/>
          </w:tcPr>
          <w:p w14:paraId="4E8649F6"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Unconducted Fairness Evaluations</w:t>
            </w:r>
          </w:p>
        </w:tc>
        <w:tc>
          <w:tcPr>
            <w:tcW w:w="5300" w:type="dxa"/>
          </w:tcPr>
          <w:p w14:paraId="10D032EB"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Context-specific fairness and bias evaluations are not conducted or documented for AI systems</w:t>
            </w:r>
          </w:p>
        </w:tc>
      </w:tr>
    </w:tbl>
    <w:p w14:paraId="5036A90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BFFF77E"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05C67737"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9D835AD"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xml:space="preserve">Establish a process for conducting context-specific evaluations of fairness and bias in AI systems, focusing on the risks and potential impacts identified during the MAP function. It is also helpful to have clear definitions of systemic, computational, and human cognitive bias. Areas of increased risk tend to include lending and employment applications. Develop a standardized methodology for these evaluations, including the selection and use of appropriate techniques and tools to assess fairness and bias at various stages of the AI lifecycle. </w:t>
      </w:r>
    </w:p>
    <w:p w14:paraId="668FE644"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3981B64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Document the results of fairness and bias evaluations, including identified issues, potential sources of bias, and recommended mitigation strategies while addressing any applicable regulatory reporting requirements. Use these findings to inform the development and implementation of targeted interventions to address identified biases and fairness concerns, such as data preprocessing techniques, model adjustments, or post-processing methods.</w:t>
      </w:r>
    </w:p>
    <w:p w14:paraId="403B0AD3"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341B279B"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10CB2ED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5DCFC2A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Development of Fairness and Bias Evaluation Framework</w:t>
      </w:r>
    </w:p>
    <w:p w14:paraId="066C038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Create formal procedures, criteria, and tools for assessing fairness and bias across the AI lifecycle, aligned with regulatory requirements and organizational risk thresholds.</w:t>
      </w:r>
    </w:p>
    <w:p w14:paraId="78D0DB23"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lastRenderedPageBreak/>
        <w:t>Examples of Effective Evidence:</w:t>
      </w:r>
      <w:r w:rsidRPr="00963E47">
        <w:rPr>
          <w:rFonts w:ascii="Aptos" w:eastAsia="Aptos" w:hAnsi="Aptos" w:cs="Times New Roman"/>
          <w:color w:val="auto"/>
          <w:kern w:val="2"/>
          <w:sz w:val="20"/>
          <w:szCs w:val="20"/>
          <w14:ligatures w14:val="standardContextual"/>
        </w:rPr>
        <w:t xml:space="preserve"> </w:t>
      </w:r>
    </w:p>
    <w:p w14:paraId="7F73C04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Standardized assessment protocols covering data, model, and output biases.</w:t>
      </w:r>
    </w:p>
    <w:p w14:paraId="16A459A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Criteria checklists for bias detection tailored to use cases.</w:t>
      </w:r>
    </w:p>
    <w:p w14:paraId="3A10513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Version-controlled evaluation frameworks.</w:t>
      </w:r>
    </w:p>
    <w:p w14:paraId="1F091E0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Guidelines for identifying bias sources at each stage.</w:t>
      </w:r>
    </w:p>
    <w:p w14:paraId="3BD2957D" w14:textId="77777777" w:rsidR="00963E47" w:rsidRPr="00963E47" w:rsidRDefault="00963E47" w:rsidP="004C3837">
      <w:pPr>
        <w:rPr>
          <w:rFonts w:ascii="Aptos" w:eastAsia="Aptos" w:hAnsi="Aptos" w:cs="Times New Roman"/>
          <w:color w:val="auto"/>
          <w:kern w:val="2"/>
          <w:sz w:val="20"/>
          <w:szCs w:val="20"/>
          <w14:ligatures w14:val="standardContextual"/>
        </w:rPr>
      </w:pPr>
    </w:p>
    <w:p w14:paraId="18BDC22A"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Application of Bias and Fairness Testing Techniques</w:t>
      </w:r>
    </w:p>
    <w:p w14:paraId="42CE925C"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Use validated techniques such as statistical bias testing, fairness metrics, adversarial testing, and data audits to systematically evaluate biases and fairness throughout development and deployment</w:t>
      </w:r>
    </w:p>
    <w:p w14:paraId="09D1A9BE"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B699B17"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Test reports displaying fairness and bias metrics (e.g., demographic parity, equal opportunity).</w:t>
      </w:r>
    </w:p>
    <w:p w14:paraId="2D6F9C9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Data audit logs identifying biased data sources or features.</w:t>
      </w:r>
    </w:p>
    <w:p w14:paraId="2DD83C6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Results from adversarial or scenario-based bias tests.</w:t>
      </w:r>
    </w:p>
    <w:p w14:paraId="5B912D0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Model validation reports highlighting fairness issues.</w:t>
      </w:r>
    </w:p>
    <w:p w14:paraId="6B7A476D" w14:textId="77777777" w:rsidR="00963E47" w:rsidRPr="00963E47" w:rsidRDefault="00963E47" w:rsidP="004C3837">
      <w:pPr>
        <w:rPr>
          <w:rFonts w:ascii="Aptos" w:eastAsia="Aptos" w:hAnsi="Aptos" w:cs="Times New Roman"/>
          <w:color w:val="auto"/>
          <w:kern w:val="2"/>
          <w:sz w:val="20"/>
          <w:szCs w:val="20"/>
          <w14:ligatures w14:val="standardContextual"/>
        </w:rPr>
      </w:pPr>
    </w:p>
    <w:p w14:paraId="4D131C87"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Documentation of Evaluation Results and Issues</w:t>
      </w:r>
    </w:p>
    <w:p w14:paraId="713A51A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Record findings from bias and fairness assessments, including mapped issues, sources, and severity, providing a basis for risk management and mitigation planning</w:t>
      </w:r>
    </w:p>
    <w:p w14:paraId="655BD2C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EB2FFF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Bias assessment reports with detailed issue descriptions.</w:t>
      </w:r>
    </w:p>
    <w:p w14:paraId="0412FD2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Risk registers linking fairness issues with potential impacts.</w:t>
      </w:r>
    </w:p>
    <w:p w14:paraId="67877BA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Source analysis including data, model, or implementation-related biases.</w:t>
      </w:r>
    </w:p>
    <w:p w14:paraId="539F29A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Issue tracking dashboards.</w:t>
      </w:r>
    </w:p>
    <w:p w14:paraId="1C0ECFA8"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F411288"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Development and Implementation of Bias Mitigation Strategies</w:t>
      </w:r>
    </w:p>
    <w:p w14:paraId="7E70D59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Based on evaluation outcomes, design and execute mitigation actions such as data balancing, model adjustments, or policy changes, documenting decisions and actions take</w:t>
      </w:r>
    </w:p>
    <w:p w14:paraId="49BE7771"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2AF8FA7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Bias mitigation plans with assigned responsibilities.</w:t>
      </w:r>
    </w:p>
    <w:p w14:paraId="2CACE3C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Model retraining or data augmentation records.</w:t>
      </w:r>
    </w:p>
    <w:p w14:paraId="7FABD0AA"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Policy updates affecting fairness considerations.</w:t>
      </w:r>
    </w:p>
    <w:p w14:paraId="7D70F580"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Follow-up testing to verify mitigation effectiveness.</w:t>
      </w:r>
    </w:p>
    <w:p w14:paraId="7187377E" w14:textId="77777777" w:rsidR="00963E47" w:rsidRPr="00963E47" w:rsidRDefault="00963E47" w:rsidP="004C3837">
      <w:pPr>
        <w:rPr>
          <w:rFonts w:ascii="Aptos" w:eastAsia="Aptos" w:hAnsi="Aptos" w:cs="Times New Roman"/>
          <w:color w:val="auto"/>
          <w:kern w:val="2"/>
          <w:sz w:val="20"/>
          <w:szCs w:val="20"/>
          <w14:ligatures w14:val="standardContextual"/>
        </w:rPr>
      </w:pPr>
    </w:p>
    <w:p w14:paraId="6B68D0AF"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Ongoing Monitoring, Review, and Improvement</w:t>
      </w:r>
    </w:p>
    <w:p w14:paraId="2F1AC9C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Continuously monitor bias and fairness metrics post-deployment, review evaluation processes periodically, and refine mitigation strategies based on new insights, regulations, and lessons learned</w:t>
      </w:r>
    </w:p>
    <w:p w14:paraId="31BBA90A"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0750C4F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Monitoring dashboards tracking fairness metrics over time.</w:t>
      </w:r>
    </w:p>
    <w:p w14:paraId="40A20E6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Regular review reports assessing bias levels and mitigation success.</w:t>
      </w:r>
    </w:p>
    <w:p w14:paraId="240E6B5E"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Lessons learned documentation from bias-related incidents.</w:t>
      </w:r>
    </w:p>
    <w:p w14:paraId="5839BD9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Revisions to evaluation frameworks guided by evolving standards.</w:t>
      </w:r>
    </w:p>
    <w:p w14:paraId="74054302" w14:textId="77777777" w:rsidR="005E2FCC" w:rsidRDefault="005E2FCC"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p>
    <w:p w14:paraId="0F7A389A" w14:textId="35E02C03" w:rsidR="00963E47" w:rsidRPr="00963E47" w:rsidRDefault="00963E47" w:rsidP="004C3837">
      <w:pPr>
        <w:keepNext/>
        <w:pBdr>
          <w:top w:val="single" w:sz="24" w:space="1" w:color="auto"/>
        </w:pBdr>
        <w:outlineLvl w:val="1"/>
        <w:rPr>
          <w:rFonts w:ascii="Aptos" w:eastAsia="Aptos" w:hAnsi="Aptos" w:cs="Times New Roman"/>
          <w:b/>
          <w:bCs/>
          <w:noProof/>
          <w:color w:val="35256B"/>
          <w:kern w:val="2"/>
          <w:sz w:val="24"/>
          <w14:ligatures w14:val="standardContextual"/>
        </w:rPr>
      </w:pPr>
      <w:bookmarkStart w:id="23" w:name="_Toc221016952"/>
      <w:r w:rsidRPr="00963E47">
        <w:rPr>
          <w:rFonts w:ascii="Aptos" w:eastAsia="Aptos" w:hAnsi="Aptos" w:cs="Times New Roman"/>
          <w:b/>
          <w:bCs/>
          <w:noProof/>
          <w:color w:val="35256B"/>
          <w:kern w:val="2"/>
          <w:sz w:val="24"/>
          <w14:ligatures w14:val="standardContextual"/>
        </w:rPr>
        <w:t>MEASURE / Tracking AI Risks / Enabling Feedback, Appeal, and Override</w:t>
      </w:r>
      <w:bookmarkEnd w:id="23"/>
      <w:r w:rsidRPr="00963E47">
        <w:rPr>
          <w:rFonts w:ascii="Aptos" w:eastAsia="Aptos" w:hAnsi="Aptos" w:cs="Times New Roman"/>
          <w:b/>
          <w:bCs/>
          <w:noProof/>
          <w:color w:val="35256B"/>
          <w:kern w:val="2"/>
          <w:sz w:val="24"/>
          <w14:ligatures w14:val="standardContextual"/>
        </w:rPr>
        <w:t xml:space="preserve"> </w:t>
      </w:r>
    </w:p>
    <w:p w14:paraId="5EDA2C4F" w14:textId="77777777" w:rsidR="00963E47" w:rsidRPr="00963E47" w:rsidRDefault="00963E47" w:rsidP="004C3837">
      <w:pPr>
        <w:keepNext/>
        <w:rPr>
          <w:rFonts w:ascii="Aptos" w:eastAsia="Aptos" w:hAnsi="Aptos" w:cs="Times New Roman"/>
          <w:b/>
          <w:bCs/>
          <w:color w:val="C00000"/>
          <w:kern w:val="2"/>
          <w:sz w:val="24"/>
          <w14:ligatures w14:val="standardContextual"/>
        </w:rPr>
      </w:pPr>
    </w:p>
    <w:p w14:paraId="72E2ADA9"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Control Objective:</w:t>
      </w:r>
    </w:p>
    <w:p w14:paraId="7D2D19DD"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2160"/>
        <w:gridCol w:w="6740"/>
      </w:tblGrid>
      <w:tr w:rsidR="00963E47" w:rsidRPr="00963E47" w14:paraId="2F47AE74" w14:textId="77777777" w:rsidTr="005C00A5">
        <w:tc>
          <w:tcPr>
            <w:tcW w:w="1170" w:type="dxa"/>
          </w:tcPr>
          <w:p w14:paraId="46461BA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Id</w:t>
            </w:r>
          </w:p>
        </w:tc>
        <w:tc>
          <w:tcPr>
            <w:tcW w:w="2160" w:type="dxa"/>
          </w:tcPr>
          <w:p w14:paraId="0A9FFD4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Name</w:t>
            </w:r>
          </w:p>
        </w:tc>
        <w:tc>
          <w:tcPr>
            <w:tcW w:w="6740" w:type="dxa"/>
          </w:tcPr>
          <w:p w14:paraId="36C499A9"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Description</w:t>
            </w:r>
          </w:p>
        </w:tc>
      </w:tr>
      <w:tr w:rsidR="00963E47" w:rsidRPr="00963E47" w14:paraId="66B7E787" w14:textId="77777777" w:rsidTr="005C00A5">
        <w:tc>
          <w:tcPr>
            <w:tcW w:w="1170" w:type="dxa"/>
          </w:tcPr>
          <w:p w14:paraId="6BFC6B9C"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MS-3.3.1</w:t>
            </w:r>
          </w:p>
        </w:tc>
        <w:tc>
          <w:tcPr>
            <w:tcW w:w="2160" w:type="dxa"/>
          </w:tcPr>
          <w:p w14:paraId="4DB926D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Feedback and Appeals Processes</w:t>
            </w:r>
          </w:p>
        </w:tc>
        <w:tc>
          <w:tcPr>
            <w:tcW w:w="6740" w:type="dxa"/>
          </w:tcPr>
          <w:p w14:paraId="53143151"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The organization establishes feedback processes for relevant stakeholders to report problems, concerns, or unintended consequences related to AI system outcomes, integrating with existing processes for reporting security issues and potential vulnerabilities. This includes implementing an appeals mechanism that allows users to challenge or request reviews of outcomes they believe to be inaccurate, unfair, or harmful. Both processes are documented clearly, including channels, timeframes, responsibilities, escalation procedures, and criteria for decision-making, with all reported issues tracked to closure.</w:t>
            </w:r>
          </w:p>
          <w:p w14:paraId="48B4CC23" w14:textId="77777777" w:rsidR="00963E47" w:rsidRPr="00963E47" w:rsidRDefault="00963E47" w:rsidP="004C3837">
            <w:pPr>
              <w:keepNext/>
              <w:rPr>
                <w:rFonts w:ascii="Aptos" w:hAnsi="Aptos" w:cs="Times New Roman"/>
                <w:b/>
                <w:bCs/>
                <w:color w:val="000000"/>
                <w:sz w:val="20"/>
                <w:szCs w:val="20"/>
              </w:rPr>
            </w:pPr>
          </w:p>
          <w:p w14:paraId="5B084124" w14:textId="77777777" w:rsidR="00963E47" w:rsidRPr="00963E47" w:rsidRDefault="00963E47" w:rsidP="004C3837">
            <w:pPr>
              <w:keepNext/>
              <w:rPr>
                <w:rFonts w:ascii="Aptos" w:hAnsi="Aptos" w:cs="Times New Roman"/>
                <w:b/>
                <w:bCs/>
                <w:color w:val="000000"/>
                <w:sz w:val="20"/>
                <w:szCs w:val="20"/>
              </w:rPr>
            </w:pPr>
            <w:hyperlink r:id="rId35" w:anchor="measure-3-3" w:history="1">
              <w:r w:rsidRPr="00963E47">
                <w:rPr>
                  <w:rFonts w:ascii="Aptos" w:hAnsi="Aptos" w:cs="Times New Roman"/>
                  <w:color w:val="000000"/>
                  <w:sz w:val="20"/>
                  <w:szCs w:val="20"/>
                  <w:u w:val="single"/>
                </w:rPr>
                <w:t>Link to NIST AI RMF Playbook</w:t>
              </w:r>
            </w:hyperlink>
          </w:p>
        </w:tc>
      </w:tr>
    </w:tbl>
    <w:p w14:paraId="383A2400"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2983D471" w14:textId="77777777" w:rsidR="00963E47" w:rsidRPr="00963E47" w:rsidRDefault="00963E47" w:rsidP="004C3837">
      <w:pPr>
        <w:keepNext/>
        <w:rPr>
          <w:rFonts w:ascii="Aptos" w:eastAsia="Aptos" w:hAnsi="Aptos" w:cs="Times New Roman"/>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Adoption Stage Applicability:</w:t>
      </w:r>
      <w:r w:rsidRPr="00963E47">
        <w:rPr>
          <w:rFonts w:ascii="Aptos" w:eastAsia="Aptos" w:hAnsi="Aptos" w:cs="Times New Roman"/>
          <w:color w:val="C00000"/>
          <w:kern w:val="2"/>
          <w:sz w:val="20"/>
          <w:szCs w:val="20"/>
          <w14:ligatures w14:val="standardContextual"/>
        </w:rPr>
        <w:t xml:space="preserve"> </w:t>
      </w:r>
    </w:p>
    <w:p w14:paraId="4179AE9E" w14:textId="77777777" w:rsidR="00963E47" w:rsidRPr="00963E47" w:rsidRDefault="00963E47" w:rsidP="004C3837">
      <w:pPr>
        <w:keepNext/>
        <w:jc w:val="both"/>
        <w:rPr>
          <w:rFonts w:ascii="Aptos" w:eastAsia="Aptos" w:hAnsi="Aptos" w:cs="Times New Roman"/>
          <w:color w:val="auto"/>
          <w:kern w:val="2"/>
          <w:sz w:val="20"/>
          <w:szCs w:val="20"/>
          <w14:ligatures w14:val="standardContextual"/>
        </w:rPr>
      </w:pPr>
    </w:p>
    <w:tbl>
      <w:tblPr>
        <w:tblStyle w:val="TableGrid"/>
        <w:tblW w:w="0" w:type="auto"/>
        <w:tblLook w:val="04A0" w:firstRow="1" w:lastRow="0" w:firstColumn="1" w:lastColumn="0" w:noHBand="0" w:noVBand="1"/>
      </w:tblPr>
      <w:tblGrid>
        <w:gridCol w:w="2160"/>
        <w:gridCol w:w="1362"/>
        <w:gridCol w:w="6295"/>
      </w:tblGrid>
      <w:tr w:rsidR="00963E47" w:rsidRPr="00963E47" w14:paraId="0EE34FB7" w14:textId="77777777" w:rsidTr="005C00A5">
        <w:trPr>
          <w:tblHeader/>
        </w:trPr>
        <w:tc>
          <w:tcPr>
            <w:tcW w:w="2160" w:type="dxa"/>
            <w:shd w:val="clear" w:color="auto" w:fill="CCDCDC"/>
            <w:vAlign w:val="center"/>
          </w:tcPr>
          <w:p w14:paraId="742CCCBF" w14:textId="77777777" w:rsidR="00963E47" w:rsidRPr="00963E47" w:rsidRDefault="00963E47" w:rsidP="004C3837">
            <w:pPr>
              <w:rPr>
                <w:rFonts w:ascii="Aptos" w:hAnsi="Aptos" w:cs="Times New Roman"/>
                <w:b/>
                <w:bCs/>
                <w:color w:val="auto"/>
                <w:sz w:val="20"/>
                <w:szCs w:val="20"/>
              </w:rPr>
            </w:pPr>
            <w:r w:rsidRPr="00963E47">
              <w:rPr>
                <w:rFonts w:ascii="Aptos" w:hAnsi="Aptos" w:cs="Times New Roman"/>
                <w:b/>
                <w:bCs/>
                <w:color w:val="auto"/>
                <w:sz w:val="20"/>
                <w:szCs w:val="20"/>
              </w:rPr>
              <w:t>Adoption Stage</w:t>
            </w:r>
          </w:p>
        </w:tc>
        <w:tc>
          <w:tcPr>
            <w:tcW w:w="1350" w:type="dxa"/>
            <w:shd w:val="clear" w:color="auto" w:fill="CCDCDC"/>
          </w:tcPr>
          <w:p w14:paraId="75B7A40F" w14:textId="77777777" w:rsidR="00963E47" w:rsidRPr="00963E47" w:rsidRDefault="00963E47" w:rsidP="004C3837">
            <w:pPr>
              <w:jc w:val="center"/>
              <w:rPr>
                <w:rFonts w:ascii="Aptos" w:hAnsi="Aptos" w:cs="Times New Roman"/>
                <w:b/>
                <w:bCs/>
                <w:color w:val="auto"/>
                <w:sz w:val="20"/>
                <w:szCs w:val="20"/>
              </w:rPr>
            </w:pPr>
            <w:r w:rsidRPr="00963E47">
              <w:rPr>
                <w:rFonts w:ascii="Aptos" w:hAnsi="Aptos" w:cs="Times New Roman"/>
                <w:b/>
                <w:bCs/>
                <w:color w:val="auto"/>
                <w:sz w:val="20"/>
                <w:szCs w:val="20"/>
              </w:rPr>
              <w:t>Applicability</w:t>
            </w:r>
          </w:p>
        </w:tc>
        <w:tc>
          <w:tcPr>
            <w:tcW w:w="6295" w:type="dxa"/>
            <w:shd w:val="clear" w:color="auto" w:fill="CCDCDC"/>
          </w:tcPr>
          <w:p w14:paraId="211DCA36" w14:textId="77777777" w:rsidR="00963E47" w:rsidRPr="00963E47" w:rsidRDefault="00963E47" w:rsidP="004C3837">
            <w:pPr>
              <w:jc w:val="both"/>
              <w:rPr>
                <w:rFonts w:ascii="Aptos" w:hAnsi="Aptos" w:cs="Times New Roman"/>
                <w:b/>
                <w:bCs/>
                <w:color w:val="auto"/>
                <w:sz w:val="20"/>
                <w:szCs w:val="20"/>
              </w:rPr>
            </w:pPr>
            <w:r w:rsidRPr="00963E47">
              <w:rPr>
                <w:rFonts w:ascii="Aptos" w:hAnsi="Aptos" w:cs="Times New Roman"/>
                <w:b/>
                <w:bCs/>
                <w:color w:val="auto"/>
                <w:sz w:val="20"/>
                <w:szCs w:val="20"/>
              </w:rPr>
              <w:t>Rationale</w:t>
            </w:r>
          </w:p>
        </w:tc>
      </w:tr>
      <w:tr w:rsidR="00963E47" w:rsidRPr="00963E47" w14:paraId="143573C5" w14:textId="77777777" w:rsidTr="005C00A5">
        <w:tc>
          <w:tcPr>
            <w:tcW w:w="2160" w:type="dxa"/>
            <w:shd w:val="clear" w:color="auto" w:fill="CCDCDC"/>
          </w:tcPr>
          <w:p w14:paraId="4175C7A4"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1: Initial</w:t>
            </w:r>
          </w:p>
        </w:tc>
        <w:tc>
          <w:tcPr>
            <w:tcW w:w="1350" w:type="dxa"/>
          </w:tcPr>
          <w:p w14:paraId="5E78C634"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A589ABF"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initial stage start to establish basic feedback processes for relevant stakeholders to report any problems, concerns, or unintended consequences related to initial AI system outcomes. This might involve setting up a simple mechanism for users to flag potentially inaccurate or unfair outcomes.</w:t>
            </w:r>
          </w:p>
        </w:tc>
      </w:tr>
      <w:tr w:rsidR="00963E47" w:rsidRPr="00963E47" w14:paraId="05F5171E" w14:textId="77777777" w:rsidTr="005C00A5">
        <w:tc>
          <w:tcPr>
            <w:tcW w:w="2160" w:type="dxa"/>
            <w:shd w:val="clear" w:color="auto" w:fill="CCDCDC"/>
          </w:tcPr>
          <w:p w14:paraId="61A712FF"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2: Minimal</w:t>
            </w:r>
          </w:p>
        </w:tc>
        <w:tc>
          <w:tcPr>
            <w:tcW w:w="1350" w:type="dxa"/>
          </w:tcPr>
          <w:p w14:paraId="6190B6F2"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07C75ADA"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Organizations at the minimal stage establish basic feedback processes for relevant stakeholders to report any problems, concerns, or unintended consequences related to AI system outcomes. This can include an appeals mechanism that allows users to challenge or request basic reviews of outcomes they believe to be inaccurate, unfair, or harmful, with processes documented clearly, including channels, timeframes, responsibilities, and criteria for decision-making.</w:t>
            </w:r>
          </w:p>
        </w:tc>
      </w:tr>
      <w:tr w:rsidR="00963E47" w:rsidRPr="00963E47" w14:paraId="5CA478DA" w14:textId="77777777" w:rsidTr="005C00A5">
        <w:tc>
          <w:tcPr>
            <w:tcW w:w="2160" w:type="dxa"/>
            <w:shd w:val="clear" w:color="auto" w:fill="CCDCDC"/>
          </w:tcPr>
          <w:p w14:paraId="26849D09"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3: Evolving</w:t>
            </w:r>
          </w:p>
        </w:tc>
        <w:tc>
          <w:tcPr>
            <w:tcW w:w="1350" w:type="dxa"/>
          </w:tcPr>
          <w:p w14:paraId="48893284"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5263E066"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At the evolving stage, organizations expand AI usage into external-facing solutions that involve sensitive data, so establishing robust feedback processes becomes vital. In this stage, while AI might not yet drive critical business decisions, any unintended outcomes could affect external stakeholders or broader operations, making documented reporting and appeals processes essential for mitigating risks and ensuring accountability.</w:t>
            </w:r>
          </w:p>
        </w:tc>
      </w:tr>
      <w:tr w:rsidR="00963E47" w:rsidRPr="00963E47" w14:paraId="423C935C" w14:textId="77777777" w:rsidTr="005C00A5">
        <w:tc>
          <w:tcPr>
            <w:tcW w:w="2160" w:type="dxa"/>
            <w:shd w:val="clear" w:color="auto" w:fill="CCDCDC"/>
          </w:tcPr>
          <w:p w14:paraId="2CBD2E32" w14:textId="77777777" w:rsidR="00963E47" w:rsidRPr="00963E47" w:rsidRDefault="00963E47" w:rsidP="004C3837">
            <w:pPr>
              <w:jc w:val="both"/>
              <w:rPr>
                <w:rFonts w:ascii="Aptos" w:hAnsi="Aptos" w:cs="Times New Roman"/>
                <w:b/>
                <w:bCs/>
                <w:color w:val="000000"/>
                <w:sz w:val="20"/>
                <w:szCs w:val="20"/>
              </w:rPr>
            </w:pPr>
            <w:r w:rsidRPr="00963E47">
              <w:rPr>
                <w:rFonts w:ascii="Aptos" w:hAnsi="Aptos" w:cs="Times New Roman"/>
                <w:b/>
                <w:bCs/>
                <w:color w:val="000000"/>
                <w:sz w:val="20"/>
                <w:szCs w:val="20"/>
              </w:rPr>
              <w:t>Stage 4: Embedded</w:t>
            </w:r>
          </w:p>
        </w:tc>
        <w:tc>
          <w:tcPr>
            <w:tcW w:w="1350" w:type="dxa"/>
          </w:tcPr>
          <w:p w14:paraId="70A1F653" w14:textId="77777777" w:rsidR="00963E47" w:rsidRPr="00963E47" w:rsidRDefault="00963E47" w:rsidP="004C3837">
            <w:pPr>
              <w:jc w:val="center"/>
              <w:rPr>
                <w:rFonts w:ascii="Aptos" w:hAnsi="Aptos" w:cs="Times New Roman"/>
                <w:color w:val="auto"/>
                <w:sz w:val="20"/>
                <w:szCs w:val="20"/>
              </w:rPr>
            </w:pPr>
            <w:r w:rsidRPr="00963E47">
              <w:rPr>
                <w:rFonts w:ascii="Aptos" w:hAnsi="Aptos" w:cs="Times New Roman"/>
                <w:noProof/>
                <w:color w:val="auto"/>
                <w:sz w:val="20"/>
                <w:szCs w:val="20"/>
              </w:rPr>
              <w:t>Yes</w:t>
            </w:r>
          </w:p>
        </w:tc>
        <w:tc>
          <w:tcPr>
            <w:tcW w:w="6295" w:type="dxa"/>
            <w:vAlign w:val="center"/>
          </w:tcPr>
          <w:p w14:paraId="1073B6E8" w14:textId="77777777" w:rsidR="00963E47" w:rsidRPr="00963E47" w:rsidRDefault="00963E47" w:rsidP="004C3837">
            <w:pPr>
              <w:rPr>
                <w:rFonts w:ascii="Aptos" w:hAnsi="Aptos" w:cs="Times New Roman"/>
                <w:color w:val="auto"/>
                <w:sz w:val="20"/>
                <w:szCs w:val="20"/>
              </w:rPr>
            </w:pPr>
            <w:r w:rsidRPr="00963E47">
              <w:rPr>
                <w:rFonts w:ascii="Aptos" w:hAnsi="Aptos" w:cs="Times New Roman"/>
                <w:noProof/>
                <w:color w:val="auto"/>
                <w:sz w:val="20"/>
                <w:szCs w:val="20"/>
              </w:rPr>
              <w:t xml:space="preserve">Organizations at the embedded stage have advanced, automated processes for continuously establishing feedback processes for relevant stakeholders to report problems, concerns, or unintended consequences related to AI system outcomes, with real-time implementation of an appeals mechanism that allows users to challenge or request reviews of outcomes they believe to be inaccurate, unfair, or harmful, with both processes documented clearly, including channels, timeframes, responsibilities, and criteria for decision-making based on data-driven insights. These processes </w:t>
            </w:r>
            <w:r w:rsidRPr="00963E47">
              <w:rPr>
                <w:rFonts w:ascii="Aptos" w:hAnsi="Aptos" w:cs="Times New Roman"/>
                <w:noProof/>
                <w:color w:val="auto"/>
                <w:sz w:val="20"/>
                <w:szCs w:val="20"/>
              </w:rPr>
              <w:lastRenderedPageBreak/>
              <w:t>are seamlessly integrated into the organization's risk management and stakeholder engagement frameworks, ensuring the highest level of proactive stakeholder feedback and appeals mechanism establishment and documentation.</w:t>
            </w:r>
          </w:p>
        </w:tc>
      </w:tr>
    </w:tbl>
    <w:p w14:paraId="28EE094A" w14:textId="77777777" w:rsidR="00963E47" w:rsidRPr="00963E47" w:rsidRDefault="00963E47" w:rsidP="004C3837">
      <w:pPr>
        <w:jc w:val="both"/>
        <w:rPr>
          <w:rFonts w:ascii="Aptos" w:eastAsia="Aptos" w:hAnsi="Aptos" w:cs="Times New Roman"/>
          <w:color w:val="auto"/>
          <w:kern w:val="2"/>
          <w:sz w:val="20"/>
          <w:szCs w:val="20"/>
          <w14:ligatures w14:val="standardContextu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2520"/>
        <w:gridCol w:w="5300"/>
      </w:tblGrid>
      <w:tr w:rsidR="00963E47" w:rsidRPr="00963E47" w14:paraId="2C80B49A" w14:textId="77777777" w:rsidTr="005C00A5">
        <w:tc>
          <w:tcPr>
            <w:tcW w:w="2250" w:type="dxa"/>
          </w:tcPr>
          <w:p w14:paraId="4EE71FB1"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AI Principle</w:t>
            </w:r>
          </w:p>
        </w:tc>
        <w:tc>
          <w:tcPr>
            <w:tcW w:w="2520" w:type="dxa"/>
          </w:tcPr>
          <w:p w14:paraId="13B7B1E7"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Name</w:t>
            </w:r>
          </w:p>
        </w:tc>
        <w:tc>
          <w:tcPr>
            <w:tcW w:w="5300" w:type="dxa"/>
          </w:tcPr>
          <w:p w14:paraId="0930B447" w14:textId="77777777" w:rsidR="00963E47" w:rsidRPr="00963E47" w:rsidRDefault="00963E47" w:rsidP="004C3837">
            <w:pPr>
              <w:keepNext/>
              <w:rPr>
                <w:rFonts w:ascii="Aptos" w:hAnsi="Aptos" w:cs="Times New Roman"/>
                <w:b/>
                <w:bCs/>
                <w:color w:val="000000"/>
                <w:sz w:val="20"/>
                <w:szCs w:val="20"/>
              </w:rPr>
            </w:pPr>
            <w:r w:rsidRPr="00963E47">
              <w:rPr>
                <w:rFonts w:ascii="Aptos" w:hAnsi="Aptos" w:cs="Times New Roman"/>
                <w:b/>
                <w:bCs/>
                <w:color w:val="000000"/>
                <w:sz w:val="20"/>
                <w:szCs w:val="20"/>
              </w:rPr>
              <w:t>Risk Statement</w:t>
            </w:r>
          </w:p>
        </w:tc>
      </w:tr>
      <w:tr w:rsidR="00963E47" w:rsidRPr="00963E47" w14:paraId="75FB1530" w14:textId="77777777" w:rsidTr="005C00A5">
        <w:tc>
          <w:tcPr>
            <w:tcW w:w="2250" w:type="dxa"/>
          </w:tcPr>
          <w:p w14:paraId="609D433F"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Accountable &amp; Transparent</w:t>
            </w:r>
          </w:p>
        </w:tc>
        <w:tc>
          <w:tcPr>
            <w:tcW w:w="2520" w:type="dxa"/>
          </w:tcPr>
          <w:p w14:paraId="0C29B6C9"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Insufficient Feedback Mechanisms</w:t>
            </w:r>
          </w:p>
        </w:tc>
        <w:tc>
          <w:tcPr>
            <w:tcW w:w="5300" w:type="dxa"/>
          </w:tcPr>
          <w:p w14:paraId="3755E9E7" w14:textId="77777777" w:rsidR="00963E47" w:rsidRPr="00963E47" w:rsidRDefault="00963E47" w:rsidP="004C3837">
            <w:pPr>
              <w:keepNext/>
              <w:rPr>
                <w:rFonts w:ascii="Aptos" w:hAnsi="Aptos" w:cs="Times New Roman"/>
                <w:color w:val="000000"/>
                <w:sz w:val="20"/>
                <w:szCs w:val="20"/>
              </w:rPr>
            </w:pPr>
            <w:r w:rsidRPr="00963E47">
              <w:rPr>
                <w:rFonts w:ascii="Aptos" w:hAnsi="Aptos" w:cs="Times New Roman"/>
                <w:noProof/>
                <w:color w:val="000000"/>
                <w:sz w:val="20"/>
                <w:szCs w:val="20"/>
              </w:rPr>
              <w:t>Feedback processes and appeals mechanisms for AI outcomes are insufficient</w:t>
            </w:r>
          </w:p>
        </w:tc>
      </w:tr>
    </w:tbl>
    <w:p w14:paraId="3C68BD36"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192F9451"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Implementation Guidelines: </w:t>
      </w:r>
    </w:p>
    <w:p w14:paraId="515996C8"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74FA48B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Develop and implement feedback processes that enable relevant stakeholders, such as end-users and impacted communities, to report problems, concerns, or unintended consequences related to AI system outcomes. Integrate these processes with existing mechanisms for reporting security issues and potential vulnerabilities. Establish clear channels for submitting feedback, such as dedicated email addresses, online forms, or helpline numbers, and ensure these are easily accessible and widely communicated. Such processes may be mandated for credit lending (e.g., adverse action notices) or other high-impact applications.</w:t>
      </w:r>
    </w:p>
    <w:p w14:paraId="40C3F742"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38F17F1C"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Note: To align with MEASURE 2.8 and MEASURE 2.9, incorporate assessments to verify stakeholders’ ability to understand AI communications and interpret explainability data, ensuring feedback channels effectively capture whether users can comprehend and challenge AI decisions based on clear explanations.</w:t>
      </w:r>
    </w:p>
    <w:p w14:paraId="23A630BC" w14:textId="77777777" w:rsidR="00963E47" w:rsidRPr="00963E47" w:rsidRDefault="00963E47" w:rsidP="004C3837">
      <w:pPr>
        <w:rPr>
          <w:rFonts w:ascii="Aptos" w:eastAsia="Aptos" w:hAnsi="Aptos" w:cs="Times New Roman"/>
          <w:noProof/>
          <w:color w:val="auto"/>
          <w:kern w:val="2"/>
          <w:sz w:val="20"/>
          <w:szCs w:val="20"/>
          <w14:ligatures w14:val="standardContextual"/>
        </w:rPr>
      </w:pPr>
    </w:p>
    <w:p w14:paraId="39A874CA"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Design an appeals mechanism that allows users to challenge or request reviews of AI system outcomes they believe to be inaccurate, unfair, or harmful. Define clear criteria for determining which outcomes are eligible for appeal, and establish a standardized process for reviewing and resolving appeals, including timeframes for response and escalation procedures for complex cases. Document both the feedback and appeal processes clearly, outlining channels, timeframes, responsibilities, escalation procedures, and criteria for decision-making. Ensure this documentation is regularly reviewed and updated to reflect changes in the organization's AI systems and stakeholder needs, with all reported issues tracked to closure.</w:t>
      </w:r>
    </w:p>
    <w:p w14:paraId="0E9530B8" w14:textId="77777777" w:rsidR="00963E47" w:rsidRPr="00963E47" w:rsidRDefault="00963E47" w:rsidP="004C3837">
      <w:pPr>
        <w:rPr>
          <w:rFonts w:ascii="Aptos" w:eastAsia="Aptos" w:hAnsi="Aptos" w:cs="Times New Roman"/>
          <w:b/>
          <w:bCs/>
          <w:color w:val="C00000"/>
          <w:kern w:val="2"/>
          <w:sz w:val="20"/>
          <w:szCs w:val="20"/>
          <w14:ligatures w14:val="standardContextual"/>
        </w:rPr>
      </w:pPr>
    </w:p>
    <w:p w14:paraId="0C7AB353"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r w:rsidRPr="00963E47">
        <w:rPr>
          <w:rFonts w:ascii="Aptos" w:eastAsia="Aptos" w:hAnsi="Aptos" w:cs="Times New Roman"/>
          <w:b/>
          <w:bCs/>
          <w:color w:val="C00000"/>
          <w:kern w:val="2"/>
          <w:sz w:val="20"/>
          <w:szCs w:val="20"/>
          <w14:ligatures w14:val="standardContextual"/>
        </w:rPr>
        <w:t xml:space="preserve">Example Controls and Evidence: </w:t>
      </w:r>
    </w:p>
    <w:p w14:paraId="5A3E3EA2" w14:textId="77777777" w:rsidR="00963E47" w:rsidRPr="00963E47" w:rsidRDefault="00963E47" w:rsidP="004C3837">
      <w:pPr>
        <w:keepNext/>
        <w:rPr>
          <w:rFonts w:ascii="Aptos" w:eastAsia="Aptos" w:hAnsi="Aptos" w:cs="Times New Roman"/>
          <w:b/>
          <w:bCs/>
          <w:color w:val="C00000"/>
          <w:kern w:val="2"/>
          <w:sz w:val="20"/>
          <w:szCs w:val="20"/>
          <w14:ligatures w14:val="standardContextual"/>
        </w:rPr>
      </w:pPr>
    </w:p>
    <w:p w14:paraId="20F5B1A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1:</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Development of Feedback and Appeals Process Documentation</w:t>
      </w:r>
    </w:p>
    <w:p w14:paraId="0CAC5318"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Create formal, accessible procedures for collecting stakeholder feedback and handling appeals, with comprehensive documentation of channels, timeframes, roles, and decision criteria.</w:t>
      </w:r>
    </w:p>
    <w:p w14:paraId="49FC7EE2"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769C82A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Process manuals outlining steps for feedback submission and appeal handling.</w:t>
      </w:r>
    </w:p>
    <w:p w14:paraId="6D4D7013"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Flowcharts showing escalation paths and decision points.</w:t>
      </w:r>
    </w:p>
    <w:p w14:paraId="4ED16B48"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Templates for feedback and appeal forms.</w:t>
      </w:r>
    </w:p>
    <w:p w14:paraId="530D9607"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Documented roles and responsibilities of staff managing feedback and appeals.</w:t>
      </w:r>
    </w:p>
    <w:p w14:paraId="4B416176" w14:textId="77777777" w:rsidR="00963E47" w:rsidRPr="00963E47" w:rsidRDefault="00963E47" w:rsidP="004C3837">
      <w:pPr>
        <w:rPr>
          <w:rFonts w:ascii="Aptos" w:eastAsia="Aptos" w:hAnsi="Aptos" w:cs="Times New Roman"/>
          <w:color w:val="auto"/>
          <w:kern w:val="2"/>
          <w:sz w:val="20"/>
          <w:szCs w:val="20"/>
          <w14:ligatures w14:val="standardContextual"/>
        </w:rPr>
      </w:pPr>
    </w:p>
    <w:p w14:paraId="2644BA52"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2:</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Implementation of Feedback and Appeal Channels</w:t>
      </w:r>
    </w:p>
    <w:p w14:paraId="35AC9616"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Deploy multiple, easily accessible channels for stakeholders to submit feedback and appeal outcomes (e.g., online portals, contact centers, dedicated email addresses) to ensure a user-friendly experience that encourages reporting and engagement from all relevant parties.</w:t>
      </w:r>
    </w:p>
    <w:p w14:paraId="3906899B"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AD9E15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Website interfaces, portals, or apps with feedback and appeal options.</w:t>
      </w:r>
    </w:p>
    <w:p w14:paraId="23A5AA62"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Communication logs documenting received feedback and appeals.</w:t>
      </w:r>
    </w:p>
    <w:p w14:paraId="25862FC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Helpdesk or contact center records.</w:t>
      </w:r>
    </w:p>
    <w:p w14:paraId="27E44F72"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Channel usage metrics and response times.</w:t>
      </w:r>
    </w:p>
    <w:p w14:paraId="7CC893F0" w14:textId="77777777" w:rsidR="00963E47" w:rsidRPr="00963E47" w:rsidRDefault="00963E47" w:rsidP="004C3837">
      <w:pPr>
        <w:rPr>
          <w:rFonts w:ascii="Aptos" w:eastAsia="Aptos" w:hAnsi="Aptos" w:cs="Times New Roman"/>
          <w:color w:val="auto"/>
          <w:kern w:val="2"/>
          <w:sz w:val="20"/>
          <w:szCs w:val="20"/>
          <w14:ligatures w14:val="standardContextual"/>
        </w:rPr>
      </w:pPr>
    </w:p>
    <w:p w14:paraId="35E061FD"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3:</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Clear Timeframes and Responsibilities for Response</w:t>
      </w:r>
    </w:p>
    <w:p w14:paraId="7C1BEDD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Define and document standard timeframes for acknowledgment, investigation, resolution, and communication of feedback and appeals, assigning responsible personnel or teams to promote accountability and ensure timely responses to reported issues.</w:t>
      </w:r>
    </w:p>
    <w:p w14:paraId="56813803"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364EA754"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Service level agreements (SLAs) with time targets.</w:t>
      </w:r>
    </w:p>
    <w:p w14:paraId="02760C0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Response tracking logs showing adherence to timeframes.</w:t>
      </w:r>
    </w:p>
    <w:p w14:paraId="05B6FE3F"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Standardized response scripts and templates.</w:t>
      </w:r>
    </w:p>
    <w:p w14:paraId="58446AB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Incident and appeal case logs.</w:t>
      </w:r>
    </w:p>
    <w:p w14:paraId="53BFB9CE" w14:textId="77777777" w:rsidR="00963E47" w:rsidRPr="00963E47" w:rsidRDefault="00963E47" w:rsidP="004C3837">
      <w:pPr>
        <w:rPr>
          <w:rFonts w:ascii="Aptos" w:eastAsia="Aptos" w:hAnsi="Aptos" w:cs="Times New Roman"/>
          <w:color w:val="auto"/>
          <w:kern w:val="2"/>
          <w:sz w:val="20"/>
          <w:szCs w:val="20"/>
          <w14:ligatures w14:val="standardContextual"/>
        </w:rPr>
      </w:pPr>
    </w:p>
    <w:p w14:paraId="7D47E6A1"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4:</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Criteria and Decision-Making Processes for Resolution</w:t>
      </w:r>
    </w:p>
    <w:p w14:paraId="4A67A3AD"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Establish and document the criteria, guidelines, and decision processes used to evaluate reported issues and make determinations during appeals to maintain transparency and consistency in how feedback and appeals are handled.</w:t>
      </w:r>
    </w:p>
    <w:p w14:paraId="04FF00FD"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45D594EB"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Decision matrices or guidelines for assessing fairness, accuracy, or harm.</w:t>
      </w:r>
    </w:p>
    <w:p w14:paraId="2DBEDF4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Decision review meeting minutes with documented rationale.</w:t>
      </w:r>
    </w:p>
    <w:p w14:paraId="0E8778F6"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Audit logs of decision approvals or escalations.</w:t>
      </w:r>
    </w:p>
    <w:p w14:paraId="7E383F9E"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Appeals resolution summaries with explanations.</w:t>
      </w:r>
    </w:p>
    <w:p w14:paraId="4EED90D3" w14:textId="77777777" w:rsidR="00963E47" w:rsidRPr="00963E47" w:rsidRDefault="00963E47" w:rsidP="004C3837">
      <w:pPr>
        <w:rPr>
          <w:rFonts w:ascii="Aptos" w:eastAsia="Aptos" w:hAnsi="Aptos" w:cs="Times New Roman"/>
          <w:color w:val="auto"/>
          <w:kern w:val="2"/>
          <w:sz w:val="20"/>
          <w:szCs w:val="20"/>
          <w14:ligatures w14:val="standardContextual"/>
        </w:rPr>
      </w:pPr>
    </w:p>
    <w:p w14:paraId="0AD9D562" w14:textId="77777777" w:rsidR="00963E47" w:rsidRPr="00963E47" w:rsidRDefault="00963E47" w:rsidP="004C3837">
      <w:pPr>
        <w:keepNext/>
        <w:pBdr>
          <w:top w:val="dashSmallGap" w:sz="4" w:space="1" w:color="auto"/>
        </w:pBd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 Control 5:</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Monitoring, Evaluation, and Continuous Improvement</w:t>
      </w:r>
    </w:p>
    <w:p w14:paraId="61DBC533" w14:textId="77777777" w:rsidR="00963E47" w:rsidRPr="00963E47" w:rsidRDefault="00963E47" w:rsidP="004C3837">
      <w:pPr>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Description:</w:t>
      </w:r>
      <w:r w:rsidRPr="00963E47">
        <w:rPr>
          <w:rFonts w:ascii="Aptos" w:eastAsia="Aptos" w:hAnsi="Aptos" w:cs="Times New Roman"/>
          <w:color w:val="auto"/>
          <w:kern w:val="2"/>
          <w:sz w:val="20"/>
          <w:szCs w:val="20"/>
          <w14:ligatures w14:val="standardContextual"/>
        </w:rPr>
        <w:t xml:space="preserve"> </w:t>
      </w:r>
      <w:r w:rsidRPr="00963E47">
        <w:rPr>
          <w:rFonts w:ascii="Aptos" w:eastAsia="Aptos" w:hAnsi="Aptos" w:cs="Times New Roman"/>
          <w:noProof/>
          <w:color w:val="auto"/>
          <w:kern w:val="2"/>
          <w:sz w:val="20"/>
          <w:szCs w:val="20"/>
          <w14:ligatures w14:val="standardContextual"/>
        </w:rPr>
        <w:t>Track feedback and appeal trends, evaluate resolution effectiveness, and regularly review processes for improvements, incorporating lessons learned and stakeholder input to enhance the overall effectiveness of feedback and appeals mechanisms and ensure they meet user needs.</w:t>
      </w:r>
    </w:p>
    <w:p w14:paraId="472922FF" w14:textId="77777777" w:rsidR="00963E47" w:rsidRPr="00963E47" w:rsidRDefault="00963E47" w:rsidP="004C3837">
      <w:pPr>
        <w:keepNext/>
        <w:rPr>
          <w:rFonts w:ascii="Aptos" w:eastAsia="Aptos" w:hAnsi="Aptos" w:cs="Times New Roman"/>
          <w:color w:val="auto"/>
          <w:kern w:val="2"/>
          <w:sz w:val="20"/>
          <w:szCs w:val="20"/>
          <w14:ligatures w14:val="standardContextual"/>
        </w:rPr>
      </w:pPr>
      <w:r w:rsidRPr="00963E47">
        <w:rPr>
          <w:rFonts w:ascii="Aptos" w:eastAsia="Aptos" w:hAnsi="Aptos" w:cs="Times New Roman"/>
          <w:b/>
          <w:bCs/>
          <w:color w:val="auto"/>
          <w:kern w:val="2"/>
          <w:sz w:val="20"/>
          <w:szCs w:val="20"/>
          <w14:ligatures w14:val="standardContextual"/>
        </w:rPr>
        <w:t>Examples of Effective Evidence:</w:t>
      </w:r>
      <w:r w:rsidRPr="00963E47">
        <w:rPr>
          <w:rFonts w:ascii="Aptos" w:eastAsia="Aptos" w:hAnsi="Aptos" w:cs="Times New Roman"/>
          <w:color w:val="auto"/>
          <w:kern w:val="2"/>
          <w:sz w:val="20"/>
          <w:szCs w:val="20"/>
          <w14:ligatures w14:val="standardContextual"/>
        </w:rPr>
        <w:t xml:space="preserve"> </w:t>
      </w:r>
    </w:p>
    <w:p w14:paraId="103078F1"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Feedback and appeal logs with analysis of common issues.</w:t>
      </w:r>
    </w:p>
    <w:p w14:paraId="2E9C6309"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Satisfaction surveys from stakeholders.</w:t>
      </w:r>
    </w:p>
    <w:p w14:paraId="40900D90" w14:textId="77777777" w:rsidR="00963E47" w:rsidRPr="00963E47" w:rsidRDefault="00963E47" w:rsidP="004C3837">
      <w:pPr>
        <w:rPr>
          <w:rFonts w:ascii="Aptos" w:eastAsia="Aptos" w:hAnsi="Aptos" w:cs="Times New Roman"/>
          <w:noProof/>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Process review reports outlining improvements.</w:t>
      </w:r>
    </w:p>
    <w:p w14:paraId="4E34B084" w14:textId="38F0B857" w:rsidR="00963E47" w:rsidRPr="005E2FCC" w:rsidRDefault="00963E47" w:rsidP="005E2FCC">
      <w:pPr>
        <w:rPr>
          <w:rFonts w:ascii="Aptos" w:eastAsia="Aptos" w:hAnsi="Aptos" w:cs="Times New Roman"/>
          <w:color w:val="auto"/>
          <w:kern w:val="2"/>
          <w:sz w:val="20"/>
          <w:szCs w:val="20"/>
          <w14:ligatures w14:val="standardContextual"/>
        </w:rPr>
      </w:pPr>
      <w:r w:rsidRPr="00963E47">
        <w:rPr>
          <w:rFonts w:ascii="Aptos" w:eastAsia="Aptos" w:hAnsi="Aptos" w:cs="Times New Roman"/>
          <w:noProof/>
          <w:color w:val="auto"/>
          <w:kern w:val="2"/>
          <w:sz w:val="20"/>
          <w:szCs w:val="20"/>
          <w14:ligatures w14:val="standardContextual"/>
        </w:rPr>
        <w:t>• Updated procedures reflecting lessons learned.</w:t>
      </w:r>
      <w:bookmarkEnd w:id="4"/>
      <w:bookmarkEnd w:id="5"/>
      <w:bookmarkEnd w:id="6"/>
      <w:bookmarkEnd w:id="7"/>
    </w:p>
    <w:sectPr w:rsidR="00963E47" w:rsidRPr="005E2FCC" w:rsidSect="00232CC7">
      <w:headerReference w:type="default" r:id="rId36"/>
      <w:footerReference w:type="even" r:id="rId37"/>
      <w:footerReference w:type="default" r:id="rId38"/>
      <w:headerReference w:type="first" r:id="rId39"/>
      <w:pgSz w:w="12240" w:h="15840" w:code="1"/>
      <w:pgMar w:top="1987" w:right="1080" w:bottom="1296" w:left="1080" w:header="0" w:footer="1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B8F5D0" w14:textId="77777777" w:rsidR="003F3FD4" w:rsidRDefault="003F3FD4" w:rsidP="004F2A9E">
      <w:r>
        <w:separator/>
      </w:r>
    </w:p>
  </w:endnote>
  <w:endnote w:type="continuationSeparator" w:id="0">
    <w:p w14:paraId="0514190D" w14:textId="77777777" w:rsidR="003F3FD4" w:rsidRDefault="003F3FD4" w:rsidP="004F2A9E">
      <w:r>
        <w:continuationSeparator/>
      </w:r>
    </w:p>
  </w:endnote>
  <w:endnote w:type="continuationNotice" w:id="1">
    <w:p w14:paraId="17C5B400" w14:textId="77777777" w:rsidR="003F3FD4" w:rsidRDefault="003F3F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Rockwell">
    <w:panose1 w:val="02060603020205020403"/>
    <w:charset w:val="00"/>
    <w:family w:val="roman"/>
    <w:pitch w:val="variable"/>
    <w:sig w:usb0="00000007" w:usb1="00000000" w:usb2="00000000" w:usb3="00000000" w:csb0="00000003" w:csb1="00000000"/>
  </w:font>
  <w:font w:name="Times New Roman (Headings CS)">
    <w:altName w:val="Times New Roman"/>
    <w:charset w:val="00"/>
    <w:family w:val="roman"/>
    <w:pitch w:val="variable"/>
    <w:sig w:usb0="E0002AEF" w:usb1="C0007841" w:usb2="00000009" w:usb3="00000000" w:csb0="000001FF" w:csb1="00000000"/>
  </w:font>
  <w:font w:name="Montserrat">
    <w:charset w:val="00"/>
    <w:family w:val="auto"/>
    <w:pitch w:val="variable"/>
    <w:sig w:usb0="2000020F" w:usb1="00000003" w:usb2="00000000" w:usb3="00000000" w:csb0="00000197" w:csb1="00000000"/>
  </w:font>
  <w:font w:name="MS PGothic">
    <w:altName w:val="ＭＳ Ｐゴシック"/>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CC0B1F" w14:textId="77777777" w:rsidR="00586F89" w:rsidRDefault="00586F89" w:rsidP="004F2A9E">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p w14:paraId="1BD37F74" w14:textId="77777777" w:rsidR="00586F89" w:rsidRDefault="00586F89" w:rsidP="004F2A9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9EA5C1" w14:textId="2C371D07" w:rsidR="00586F89" w:rsidRPr="00EC0D24" w:rsidRDefault="00200BF2" w:rsidP="004F2A9E">
    <w:pPr>
      <w:pStyle w:val="Footer"/>
      <w:rPr>
        <w:rFonts w:ascii="Aptos" w:hAnsi="Aptos"/>
        <w:sz w:val="24"/>
        <w:szCs w:val="24"/>
      </w:rPr>
    </w:pPr>
    <w:r w:rsidRPr="00EC0D24">
      <w:rPr>
        <w:rFonts w:ascii="Aptos" w:hAnsi="Aptos" w:cs="Times New Roman"/>
        <w:noProof/>
        <w:sz w:val="24"/>
        <w:szCs w:val="24"/>
      </w:rPr>
      <w:drawing>
        <wp:anchor distT="0" distB="0" distL="114300" distR="114300" simplePos="0" relativeHeight="251661824" behindDoc="0" locked="0" layoutInCell="1" allowOverlap="1" wp14:anchorId="07A23C95" wp14:editId="1F628BE8">
          <wp:simplePos x="0" y="0"/>
          <wp:positionH relativeFrom="column">
            <wp:posOffset>3665269</wp:posOffset>
          </wp:positionH>
          <wp:positionV relativeFrom="paragraph">
            <wp:posOffset>-88900</wp:posOffset>
          </wp:positionV>
          <wp:extent cx="3283563" cy="493984"/>
          <wp:effectExtent l="0" t="0" r="0" b="0"/>
          <wp:wrapNone/>
          <wp:docPr id="65796489" name="Picture 65796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83563" cy="493984"/>
                  </a:xfrm>
                  <a:prstGeom prst="rect">
                    <a:avLst/>
                  </a:prstGeom>
                  <a:noFill/>
                </pic:spPr>
              </pic:pic>
            </a:graphicData>
          </a:graphic>
          <wp14:sizeRelH relativeFrom="page">
            <wp14:pctWidth>0</wp14:pctWidth>
          </wp14:sizeRelH>
          <wp14:sizeRelV relativeFrom="page">
            <wp14:pctHeight>0</wp14:pctHeight>
          </wp14:sizeRelV>
        </wp:anchor>
      </w:drawing>
    </w:r>
    <w:r w:rsidR="00586F89" w:rsidRPr="00EC0D24">
      <w:rPr>
        <w:rStyle w:val="PageNumber"/>
        <w:rFonts w:ascii="Aptos" w:hAnsi="Aptos"/>
        <w:b/>
        <w:bCs w:val="0"/>
        <w:color w:val="B31E3E" w:themeColor="accent1"/>
      </w:rPr>
      <w:fldChar w:fldCharType="begin"/>
    </w:r>
    <w:r w:rsidR="00586F89" w:rsidRPr="00EC0D24">
      <w:rPr>
        <w:rStyle w:val="PageNumber"/>
        <w:rFonts w:ascii="Aptos" w:hAnsi="Aptos"/>
        <w:b/>
        <w:bCs w:val="0"/>
        <w:color w:val="B31E3E" w:themeColor="accent1"/>
      </w:rPr>
      <w:instrText xml:space="preserve"> PAGE </w:instrText>
    </w:r>
    <w:r w:rsidR="00586F89" w:rsidRPr="00EC0D24">
      <w:rPr>
        <w:rStyle w:val="PageNumber"/>
        <w:rFonts w:ascii="Aptos" w:hAnsi="Aptos"/>
        <w:b/>
        <w:bCs w:val="0"/>
        <w:color w:val="B31E3E" w:themeColor="accent1"/>
      </w:rPr>
      <w:fldChar w:fldCharType="separate"/>
    </w:r>
    <w:r w:rsidR="00586F89" w:rsidRPr="00EC0D24">
      <w:rPr>
        <w:rStyle w:val="PageNumber"/>
        <w:rFonts w:ascii="Aptos" w:hAnsi="Aptos"/>
        <w:b/>
        <w:bCs w:val="0"/>
        <w:noProof/>
        <w:color w:val="B31E3E" w:themeColor="accent1"/>
      </w:rPr>
      <w:t>4</w:t>
    </w:r>
    <w:r w:rsidR="00586F89" w:rsidRPr="00EC0D24">
      <w:rPr>
        <w:rStyle w:val="PageNumber"/>
        <w:rFonts w:ascii="Aptos" w:hAnsi="Aptos"/>
        <w:b/>
        <w:bCs w:val="0"/>
        <w:color w:val="B31E3E" w:themeColor="accent1"/>
      </w:rPr>
      <w:fldChar w:fldCharType="end"/>
    </w:r>
    <w:r w:rsidR="00586F89" w:rsidRPr="00EC0D24">
      <w:rPr>
        <w:rStyle w:val="PageNumber"/>
        <w:rFonts w:ascii="Aptos" w:hAnsi="Aptos"/>
        <w:color w:val="B31E3E" w:themeColor="accent1"/>
      </w:rPr>
      <w:t xml:space="preserve">   </w:t>
    </w:r>
    <w:r w:rsidR="009F34F5" w:rsidRPr="00EC0D24">
      <w:rPr>
        <w:rStyle w:val="PageNumber"/>
        <w:rFonts w:ascii="Aptos" w:hAnsi="Aptos"/>
        <w:szCs w:val="24"/>
      </w:rPr>
      <w:t xml:space="preserve">FS AI RMF </w:t>
    </w:r>
    <w:r w:rsidR="00EC0D24" w:rsidRPr="00EC0D24">
      <w:rPr>
        <w:rStyle w:val="PageNumber"/>
        <w:rFonts w:ascii="Aptos" w:hAnsi="Aptos"/>
        <w:szCs w:val="24"/>
      </w:rPr>
      <w:t>Reference Guide</w:t>
    </w:r>
    <w:r w:rsidR="00586F89" w:rsidRPr="00EC0D24">
      <w:rPr>
        <w:rStyle w:val="PageNumber"/>
        <w:rFonts w:ascii="Aptos" w:hAnsi="Aptos"/>
        <w:szCs w:val="24"/>
      </w:rPr>
      <w:t xml:space="preserve"> | </w:t>
    </w:r>
    <w:r w:rsidR="00D72AE9">
      <w:rPr>
        <w:rStyle w:val="PageNumber"/>
        <w:rFonts w:ascii="Aptos" w:hAnsi="Aptos"/>
        <w:szCs w:val="24"/>
      </w:rPr>
      <w:t>February</w:t>
    </w:r>
    <w:r w:rsidR="00C47615" w:rsidRPr="00EC0D24">
      <w:rPr>
        <w:rStyle w:val="PageNumber"/>
        <w:rFonts w:ascii="Aptos" w:hAnsi="Aptos"/>
        <w:szCs w:val="24"/>
      </w:rPr>
      <w:t xml:space="preserve"> 202</w:t>
    </w:r>
    <w:r w:rsidR="00D72AE9">
      <w:rPr>
        <w:rStyle w:val="PageNumber"/>
        <w:rFonts w:ascii="Aptos" w:hAnsi="Aptos"/>
        <w:szCs w:val="24"/>
      </w:rPr>
      <w:t>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C42A94" w14:textId="77777777" w:rsidR="003F3FD4" w:rsidRDefault="003F3FD4" w:rsidP="004F2A9E">
      <w:r>
        <w:separator/>
      </w:r>
    </w:p>
  </w:footnote>
  <w:footnote w:type="continuationSeparator" w:id="0">
    <w:p w14:paraId="4EB1DCAD" w14:textId="77777777" w:rsidR="003F3FD4" w:rsidRDefault="003F3FD4" w:rsidP="004F2A9E">
      <w:r>
        <w:continuationSeparator/>
      </w:r>
    </w:p>
  </w:footnote>
  <w:footnote w:type="continuationNotice" w:id="1">
    <w:p w14:paraId="7767F375" w14:textId="77777777" w:rsidR="003F3FD4" w:rsidRDefault="003F3F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0958AF" w14:textId="123A69B6" w:rsidR="00586F89" w:rsidRDefault="00586F89" w:rsidP="00301CA3">
    <w:pPr>
      <w:pStyle w:val="CoverBodyGrey"/>
    </w:pPr>
    <w:r w:rsidRPr="00E92D0A">
      <w:rPr>
        <w:noProof/>
      </w:rPr>
      <w:drawing>
        <wp:anchor distT="0" distB="0" distL="114300" distR="114300" simplePos="0" relativeHeight="251658242" behindDoc="1" locked="0" layoutInCell="1" allowOverlap="1" wp14:anchorId="23A06F10" wp14:editId="60F0DF2B">
          <wp:simplePos x="0" y="0"/>
          <wp:positionH relativeFrom="column">
            <wp:posOffset>-9727</wp:posOffset>
          </wp:positionH>
          <wp:positionV relativeFrom="paragraph">
            <wp:posOffset>583660</wp:posOffset>
          </wp:positionV>
          <wp:extent cx="2188724" cy="442402"/>
          <wp:effectExtent l="0" t="0" r="0" b="2540"/>
          <wp:wrapNone/>
          <wp:docPr id="1519309856" name="Picture 1519309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188724" cy="442402"/>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69266B" w14:textId="58F3A266" w:rsidR="00F819CB" w:rsidRDefault="00737E19">
    <w:pPr>
      <w:pStyle w:val="Header"/>
    </w:pPr>
    <w:r w:rsidRPr="00E92D0A">
      <w:rPr>
        <w:noProof/>
      </w:rPr>
      <w:drawing>
        <wp:anchor distT="0" distB="0" distL="114300" distR="114300" simplePos="0" relativeHeight="251658240" behindDoc="1" locked="0" layoutInCell="1" allowOverlap="1" wp14:anchorId="32218AA0" wp14:editId="1E5B4B0D">
          <wp:simplePos x="0" y="0"/>
          <wp:positionH relativeFrom="column">
            <wp:posOffset>-84667</wp:posOffset>
          </wp:positionH>
          <wp:positionV relativeFrom="paragraph">
            <wp:posOffset>457200</wp:posOffset>
          </wp:positionV>
          <wp:extent cx="2954867" cy="597260"/>
          <wp:effectExtent l="0" t="0" r="4445" b="0"/>
          <wp:wrapNone/>
          <wp:docPr id="1671122207" name="Picture 1671122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3043949" cy="6152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BAF61F3E"/>
    <w:lvl w:ilvl="0">
      <w:start w:val="1"/>
      <w:numFmt w:val="bullet"/>
      <w:pStyle w:val="ListBullet4"/>
      <w:lvlText w:val=""/>
      <w:lvlJc w:val="left"/>
      <w:pPr>
        <w:tabs>
          <w:tab w:val="num" w:pos="1440"/>
        </w:tabs>
        <w:ind w:left="1440" w:hanging="360"/>
      </w:pPr>
      <w:rPr>
        <w:rFonts w:ascii="Symbol" w:hAnsi="Symbol" w:hint="default"/>
      </w:rPr>
    </w:lvl>
  </w:abstractNum>
  <w:abstractNum w:abstractNumId="1" w15:restartNumberingAfterBreak="0">
    <w:nsid w:val="FFFFFF82"/>
    <w:multiLevelType w:val="singleLevel"/>
    <w:tmpl w:val="EBDE2A58"/>
    <w:lvl w:ilvl="0">
      <w:start w:val="1"/>
      <w:numFmt w:val="bullet"/>
      <w:pStyle w:val="ListBullet3"/>
      <w:lvlText w:val="o"/>
      <w:lvlJc w:val="left"/>
      <w:pPr>
        <w:ind w:left="1152" w:hanging="360"/>
      </w:pPr>
      <w:rPr>
        <w:rFonts w:ascii="Courier New" w:hAnsi="Courier New" w:cs="Courier New" w:hint="default"/>
      </w:rPr>
    </w:lvl>
  </w:abstractNum>
  <w:abstractNum w:abstractNumId="2" w15:restartNumberingAfterBreak="0">
    <w:nsid w:val="FFFFFF83"/>
    <w:multiLevelType w:val="singleLevel"/>
    <w:tmpl w:val="AEE87472"/>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FFFFFF89"/>
    <w:multiLevelType w:val="singleLevel"/>
    <w:tmpl w:val="A5BEEEC8"/>
    <w:lvl w:ilvl="0">
      <w:start w:val="1"/>
      <w:numFmt w:val="bullet"/>
      <w:pStyle w:val="ListBullet"/>
      <w:lvlText w:val=""/>
      <w:lvlJc w:val="left"/>
      <w:pPr>
        <w:ind w:left="504" w:hanging="288"/>
      </w:pPr>
      <w:rPr>
        <w:rFonts w:ascii="Symbol" w:hAnsi="Symbol" w:hint="default"/>
        <w:color w:val="B31E3E" w:themeColor="accent1"/>
      </w:rPr>
    </w:lvl>
  </w:abstractNum>
  <w:abstractNum w:abstractNumId="4" w15:restartNumberingAfterBreak="0">
    <w:nsid w:val="4F0B1DC8"/>
    <w:multiLevelType w:val="hybridMultilevel"/>
    <w:tmpl w:val="ABAC93B2"/>
    <w:lvl w:ilvl="0" w:tplc="BFE0A76E">
      <w:start w:val="1"/>
      <w:numFmt w:val="bullet"/>
      <w:pStyle w:val="EEEL"/>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7B1827A7"/>
    <w:multiLevelType w:val="multilevel"/>
    <w:tmpl w:val="E098D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29759853">
    <w:abstractNumId w:val="0"/>
  </w:num>
  <w:num w:numId="2" w16cid:durableId="1944024345">
    <w:abstractNumId w:val="1"/>
  </w:num>
  <w:num w:numId="3" w16cid:durableId="94178387">
    <w:abstractNumId w:val="2"/>
  </w:num>
  <w:num w:numId="4" w16cid:durableId="1498302033">
    <w:abstractNumId w:val="3"/>
  </w:num>
  <w:num w:numId="5" w16cid:durableId="1381783222">
    <w:abstractNumId w:val="4"/>
  </w:num>
  <w:num w:numId="6" w16cid:durableId="1154568468">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activeWritingStyle w:appName="MSWord" w:lang="en-US" w:vendorID="64" w:dllVersion="4096" w:nlCheck="1" w:checkStyle="0"/>
  <w:activeWritingStyle w:appName="MSWord" w:lang="en-US" w:vendorID="64" w:dllVersion="0" w:nlCheck="1" w:checkStyle="0"/>
  <w:activeWritingStyle w:appName="MSWord" w:lang="en-GB" w:vendorID="64" w:dllVersion="0" w:nlCheck="1" w:checkStyle="0"/>
  <w:activeWritingStyle w:appName="MSWord" w:lang="en-US" w:vendorID="64" w:dllVersion="6" w:nlCheck="1" w:checkStyle="1"/>
  <w:activeWritingStyle w:appName="MSWord" w:lang="en-GB" w:vendorID="64" w:dllVersion="6" w:nlCheck="1" w:checkStyle="1"/>
  <w:activeWritingStyle w:appName="MSWord" w:lang="fr-CA" w:vendorID="64" w:dllVersion="0" w:nlCheck="1" w:checkStyle="0"/>
  <w:activeWritingStyle w:appName="MSWord" w:lang="es-MX" w:vendorID="64" w:dllVersion="0" w:nlCheck="1" w:checkStyle="0"/>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5E18"/>
    <w:rsid w:val="000001A3"/>
    <w:rsid w:val="00000AF1"/>
    <w:rsid w:val="00000B5E"/>
    <w:rsid w:val="00000C22"/>
    <w:rsid w:val="000020C6"/>
    <w:rsid w:val="000022E1"/>
    <w:rsid w:val="00002328"/>
    <w:rsid w:val="000023EE"/>
    <w:rsid w:val="0000247A"/>
    <w:rsid w:val="000024C1"/>
    <w:rsid w:val="000024CB"/>
    <w:rsid w:val="00002B8E"/>
    <w:rsid w:val="0000348A"/>
    <w:rsid w:val="000037CD"/>
    <w:rsid w:val="00003D0D"/>
    <w:rsid w:val="00003E90"/>
    <w:rsid w:val="0000428D"/>
    <w:rsid w:val="000042C6"/>
    <w:rsid w:val="000042E0"/>
    <w:rsid w:val="000046F3"/>
    <w:rsid w:val="00004A70"/>
    <w:rsid w:val="00004ADD"/>
    <w:rsid w:val="00004D73"/>
    <w:rsid w:val="00005332"/>
    <w:rsid w:val="0000572E"/>
    <w:rsid w:val="00005AE8"/>
    <w:rsid w:val="00005D54"/>
    <w:rsid w:val="00005ECA"/>
    <w:rsid w:val="000062E5"/>
    <w:rsid w:val="00006351"/>
    <w:rsid w:val="000063DF"/>
    <w:rsid w:val="0000684F"/>
    <w:rsid w:val="000070EE"/>
    <w:rsid w:val="000071C5"/>
    <w:rsid w:val="00007F02"/>
    <w:rsid w:val="0001040F"/>
    <w:rsid w:val="00010447"/>
    <w:rsid w:val="000104B4"/>
    <w:rsid w:val="00010679"/>
    <w:rsid w:val="00010788"/>
    <w:rsid w:val="00010975"/>
    <w:rsid w:val="00010B81"/>
    <w:rsid w:val="000111B8"/>
    <w:rsid w:val="000113CB"/>
    <w:rsid w:val="00011542"/>
    <w:rsid w:val="000119D7"/>
    <w:rsid w:val="00011A61"/>
    <w:rsid w:val="00011B2E"/>
    <w:rsid w:val="00011D22"/>
    <w:rsid w:val="00011F0C"/>
    <w:rsid w:val="00011F20"/>
    <w:rsid w:val="00011FAA"/>
    <w:rsid w:val="0001237F"/>
    <w:rsid w:val="000127BB"/>
    <w:rsid w:val="00012CB4"/>
    <w:rsid w:val="00012D4B"/>
    <w:rsid w:val="00012F60"/>
    <w:rsid w:val="00012F9C"/>
    <w:rsid w:val="0001301A"/>
    <w:rsid w:val="000134E6"/>
    <w:rsid w:val="000139BA"/>
    <w:rsid w:val="00013C5C"/>
    <w:rsid w:val="00013D33"/>
    <w:rsid w:val="00014175"/>
    <w:rsid w:val="0001419C"/>
    <w:rsid w:val="000149C3"/>
    <w:rsid w:val="00014FB9"/>
    <w:rsid w:val="00015846"/>
    <w:rsid w:val="0001589E"/>
    <w:rsid w:val="0001592F"/>
    <w:rsid w:val="000159A1"/>
    <w:rsid w:val="00015B2D"/>
    <w:rsid w:val="00016580"/>
    <w:rsid w:val="00016770"/>
    <w:rsid w:val="000169AA"/>
    <w:rsid w:val="00016A00"/>
    <w:rsid w:val="00016B06"/>
    <w:rsid w:val="000170E0"/>
    <w:rsid w:val="0001714E"/>
    <w:rsid w:val="000174BC"/>
    <w:rsid w:val="00017922"/>
    <w:rsid w:val="000179FD"/>
    <w:rsid w:val="00017D88"/>
    <w:rsid w:val="00017DFF"/>
    <w:rsid w:val="000200FA"/>
    <w:rsid w:val="00020147"/>
    <w:rsid w:val="0002016F"/>
    <w:rsid w:val="000203E6"/>
    <w:rsid w:val="0002062B"/>
    <w:rsid w:val="00020848"/>
    <w:rsid w:val="000208A5"/>
    <w:rsid w:val="00020D79"/>
    <w:rsid w:val="00020E6D"/>
    <w:rsid w:val="00021119"/>
    <w:rsid w:val="000211C6"/>
    <w:rsid w:val="000212CB"/>
    <w:rsid w:val="000213F4"/>
    <w:rsid w:val="00021468"/>
    <w:rsid w:val="00021DB0"/>
    <w:rsid w:val="0002257D"/>
    <w:rsid w:val="000228F1"/>
    <w:rsid w:val="00022A7F"/>
    <w:rsid w:val="00023693"/>
    <w:rsid w:val="00023883"/>
    <w:rsid w:val="00023A88"/>
    <w:rsid w:val="00023CDF"/>
    <w:rsid w:val="00023FA1"/>
    <w:rsid w:val="00024674"/>
    <w:rsid w:val="00024688"/>
    <w:rsid w:val="00025066"/>
    <w:rsid w:val="0002511B"/>
    <w:rsid w:val="00025380"/>
    <w:rsid w:val="00025518"/>
    <w:rsid w:val="0002576A"/>
    <w:rsid w:val="0002593C"/>
    <w:rsid w:val="00025B9A"/>
    <w:rsid w:val="00025E48"/>
    <w:rsid w:val="000261AE"/>
    <w:rsid w:val="0002623F"/>
    <w:rsid w:val="0002639F"/>
    <w:rsid w:val="00026843"/>
    <w:rsid w:val="00026967"/>
    <w:rsid w:val="00026A0B"/>
    <w:rsid w:val="00026CAE"/>
    <w:rsid w:val="00026CDC"/>
    <w:rsid w:val="00026FAC"/>
    <w:rsid w:val="00027353"/>
    <w:rsid w:val="00027988"/>
    <w:rsid w:val="0002799B"/>
    <w:rsid w:val="00027A33"/>
    <w:rsid w:val="00027C7A"/>
    <w:rsid w:val="00030356"/>
    <w:rsid w:val="0003046E"/>
    <w:rsid w:val="000307FB"/>
    <w:rsid w:val="0003099F"/>
    <w:rsid w:val="00030DFA"/>
    <w:rsid w:val="0003108C"/>
    <w:rsid w:val="000313E2"/>
    <w:rsid w:val="0003150A"/>
    <w:rsid w:val="00031587"/>
    <w:rsid w:val="0003175F"/>
    <w:rsid w:val="00031B97"/>
    <w:rsid w:val="00031BAF"/>
    <w:rsid w:val="00031C15"/>
    <w:rsid w:val="00031DFA"/>
    <w:rsid w:val="000321A0"/>
    <w:rsid w:val="00032472"/>
    <w:rsid w:val="000324C0"/>
    <w:rsid w:val="0003257E"/>
    <w:rsid w:val="00032F99"/>
    <w:rsid w:val="00033103"/>
    <w:rsid w:val="000334EA"/>
    <w:rsid w:val="00033BD6"/>
    <w:rsid w:val="00033BD9"/>
    <w:rsid w:val="00033E18"/>
    <w:rsid w:val="00033F5E"/>
    <w:rsid w:val="00034230"/>
    <w:rsid w:val="000343EC"/>
    <w:rsid w:val="000347C6"/>
    <w:rsid w:val="00034D9F"/>
    <w:rsid w:val="00034F4E"/>
    <w:rsid w:val="000351BF"/>
    <w:rsid w:val="0003544F"/>
    <w:rsid w:val="0003547A"/>
    <w:rsid w:val="000356AC"/>
    <w:rsid w:val="000356E4"/>
    <w:rsid w:val="000359EE"/>
    <w:rsid w:val="000365D1"/>
    <w:rsid w:val="0003672C"/>
    <w:rsid w:val="00036B7D"/>
    <w:rsid w:val="00036E2E"/>
    <w:rsid w:val="00036F36"/>
    <w:rsid w:val="00036F86"/>
    <w:rsid w:val="00037400"/>
    <w:rsid w:val="000378AB"/>
    <w:rsid w:val="00037929"/>
    <w:rsid w:val="00037ED2"/>
    <w:rsid w:val="00037F2F"/>
    <w:rsid w:val="000403A0"/>
    <w:rsid w:val="0004044E"/>
    <w:rsid w:val="00040755"/>
    <w:rsid w:val="00040A19"/>
    <w:rsid w:val="00040B20"/>
    <w:rsid w:val="00040D4D"/>
    <w:rsid w:val="00040D92"/>
    <w:rsid w:val="00040DC3"/>
    <w:rsid w:val="00040FC0"/>
    <w:rsid w:val="0004103F"/>
    <w:rsid w:val="00041164"/>
    <w:rsid w:val="000411FB"/>
    <w:rsid w:val="0004141D"/>
    <w:rsid w:val="00041447"/>
    <w:rsid w:val="00041C7F"/>
    <w:rsid w:val="00041D6E"/>
    <w:rsid w:val="00041D72"/>
    <w:rsid w:val="00041E26"/>
    <w:rsid w:val="00041E4E"/>
    <w:rsid w:val="00041EC7"/>
    <w:rsid w:val="00041FDC"/>
    <w:rsid w:val="000421AD"/>
    <w:rsid w:val="000427C0"/>
    <w:rsid w:val="00042968"/>
    <w:rsid w:val="00042D02"/>
    <w:rsid w:val="00042DC4"/>
    <w:rsid w:val="00042E16"/>
    <w:rsid w:val="00042FB8"/>
    <w:rsid w:val="000433D0"/>
    <w:rsid w:val="00043454"/>
    <w:rsid w:val="0004367B"/>
    <w:rsid w:val="00043820"/>
    <w:rsid w:val="00043B15"/>
    <w:rsid w:val="00043B62"/>
    <w:rsid w:val="00043DEF"/>
    <w:rsid w:val="00043E64"/>
    <w:rsid w:val="000440A7"/>
    <w:rsid w:val="000446F7"/>
    <w:rsid w:val="000447A2"/>
    <w:rsid w:val="000448FE"/>
    <w:rsid w:val="00044A5A"/>
    <w:rsid w:val="00045957"/>
    <w:rsid w:val="000462C8"/>
    <w:rsid w:val="0004653A"/>
    <w:rsid w:val="00047127"/>
    <w:rsid w:val="0004783F"/>
    <w:rsid w:val="000478AB"/>
    <w:rsid w:val="00047984"/>
    <w:rsid w:val="00047D57"/>
    <w:rsid w:val="00050136"/>
    <w:rsid w:val="0005014A"/>
    <w:rsid w:val="00050190"/>
    <w:rsid w:val="00050198"/>
    <w:rsid w:val="0005041C"/>
    <w:rsid w:val="0005058A"/>
    <w:rsid w:val="00050F1D"/>
    <w:rsid w:val="0005103D"/>
    <w:rsid w:val="0005133A"/>
    <w:rsid w:val="00051668"/>
    <w:rsid w:val="000517BF"/>
    <w:rsid w:val="000519B5"/>
    <w:rsid w:val="00051B10"/>
    <w:rsid w:val="00051F93"/>
    <w:rsid w:val="000521F2"/>
    <w:rsid w:val="00052331"/>
    <w:rsid w:val="00052442"/>
    <w:rsid w:val="00052968"/>
    <w:rsid w:val="00052E28"/>
    <w:rsid w:val="00053539"/>
    <w:rsid w:val="00053540"/>
    <w:rsid w:val="000537F3"/>
    <w:rsid w:val="000538E6"/>
    <w:rsid w:val="00053A70"/>
    <w:rsid w:val="00053F0B"/>
    <w:rsid w:val="0005485F"/>
    <w:rsid w:val="000549C9"/>
    <w:rsid w:val="00054A9E"/>
    <w:rsid w:val="00054ACB"/>
    <w:rsid w:val="0005504C"/>
    <w:rsid w:val="000554FE"/>
    <w:rsid w:val="0005589E"/>
    <w:rsid w:val="00055AE2"/>
    <w:rsid w:val="00055B20"/>
    <w:rsid w:val="00055F7C"/>
    <w:rsid w:val="00056123"/>
    <w:rsid w:val="00056135"/>
    <w:rsid w:val="00056285"/>
    <w:rsid w:val="000569AA"/>
    <w:rsid w:val="00056AAC"/>
    <w:rsid w:val="00056F51"/>
    <w:rsid w:val="00057117"/>
    <w:rsid w:val="000573D5"/>
    <w:rsid w:val="000576F6"/>
    <w:rsid w:val="000578B1"/>
    <w:rsid w:val="000578C6"/>
    <w:rsid w:val="00057AA3"/>
    <w:rsid w:val="00057B74"/>
    <w:rsid w:val="00057C16"/>
    <w:rsid w:val="00057CBF"/>
    <w:rsid w:val="000602CE"/>
    <w:rsid w:val="000606AF"/>
    <w:rsid w:val="000606D3"/>
    <w:rsid w:val="000607E4"/>
    <w:rsid w:val="00060AFE"/>
    <w:rsid w:val="00060F4E"/>
    <w:rsid w:val="0006162E"/>
    <w:rsid w:val="00061926"/>
    <w:rsid w:val="00061A8A"/>
    <w:rsid w:val="00061B27"/>
    <w:rsid w:val="00061B98"/>
    <w:rsid w:val="00061EC6"/>
    <w:rsid w:val="00061FEF"/>
    <w:rsid w:val="00062455"/>
    <w:rsid w:val="00062956"/>
    <w:rsid w:val="00062EBC"/>
    <w:rsid w:val="0006346B"/>
    <w:rsid w:val="00063485"/>
    <w:rsid w:val="00063CA6"/>
    <w:rsid w:val="00063F50"/>
    <w:rsid w:val="000640C2"/>
    <w:rsid w:val="0006411C"/>
    <w:rsid w:val="00064DBB"/>
    <w:rsid w:val="00064E1C"/>
    <w:rsid w:val="000650C3"/>
    <w:rsid w:val="000652CF"/>
    <w:rsid w:val="00065D0B"/>
    <w:rsid w:val="00065FCF"/>
    <w:rsid w:val="000665F2"/>
    <w:rsid w:val="00066AE0"/>
    <w:rsid w:val="00066DF0"/>
    <w:rsid w:val="00067000"/>
    <w:rsid w:val="000672B1"/>
    <w:rsid w:val="0006767E"/>
    <w:rsid w:val="000678FB"/>
    <w:rsid w:val="000679A8"/>
    <w:rsid w:val="00067DA8"/>
    <w:rsid w:val="00067E01"/>
    <w:rsid w:val="00067E13"/>
    <w:rsid w:val="0007007E"/>
    <w:rsid w:val="000701FD"/>
    <w:rsid w:val="000703AA"/>
    <w:rsid w:val="000704B7"/>
    <w:rsid w:val="00070583"/>
    <w:rsid w:val="00070D10"/>
    <w:rsid w:val="000711C2"/>
    <w:rsid w:val="00071328"/>
    <w:rsid w:val="000713A2"/>
    <w:rsid w:val="000713F3"/>
    <w:rsid w:val="0007164A"/>
    <w:rsid w:val="0007168D"/>
    <w:rsid w:val="000716D3"/>
    <w:rsid w:val="00071F14"/>
    <w:rsid w:val="00071FFA"/>
    <w:rsid w:val="00072A09"/>
    <w:rsid w:val="00072B3B"/>
    <w:rsid w:val="0007338B"/>
    <w:rsid w:val="000736C1"/>
    <w:rsid w:val="00073CC6"/>
    <w:rsid w:val="00073EE0"/>
    <w:rsid w:val="0007411C"/>
    <w:rsid w:val="000743C6"/>
    <w:rsid w:val="00074692"/>
    <w:rsid w:val="000748F0"/>
    <w:rsid w:val="00074E34"/>
    <w:rsid w:val="00074FF0"/>
    <w:rsid w:val="00075204"/>
    <w:rsid w:val="0007557B"/>
    <w:rsid w:val="000764BA"/>
    <w:rsid w:val="0007682E"/>
    <w:rsid w:val="000769A2"/>
    <w:rsid w:val="00076A3D"/>
    <w:rsid w:val="00076A52"/>
    <w:rsid w:val="00076A63"/>
    <w:rsid w:val="00076EAC"/>
    <w:rsid w:val="00077529"/>
    <w:rsid w:val="00077823"/>
    <w:rsid w:val="000779C6"/>
    <w:rsid w:val="00077AFD"/>
    <w:rsid w:val="00077F42"/>
    <w:rsid w:val="000802A3"/>
    <w:rsid w:val="000802F2"/>
    <w:rsid w:val="00080563"/>
    <w:rsid w:val="00080884"/>
    <w:rsid w:val="00080CCF"/>
    <w:rsid w:val="0008124C"/>
    <w:rsid w:val="00081578"/>
    <w:rsid w:val="000815BF"/>
    <w:rsid w:val="00081B15"/>
    <w:rsid w:val="0008300C"/>
    <w:rsid w:val="00083635"/>
    <w:rsid w:val="0008413A"/>
    <w:rsid w:val="00084203"/>
    <w:rsid w:val="000844B8"/>
    <w:rsid w:val="000845C7"/>
    <w:rsid w:val="000846F2"/>
    <w:rsid w:val="000849DC"/>
    <w:rsid w:val="00084E4F"/>
    <w:rsid w:val="00085321"/>
    <w:rsid w:val="000853A8"/>
    <w:rsid w:val="000854A0"/>
    <w:rsid w:val="000855A0"/>
    <w:rsid w:val="000855EB"/>
    <w:rsid w:val="00085835"/>
    <w:rsid w:val="0008589B"/>
    <w:rsid w:val="00085DC3"/>
    <w:rsid w:val="00085E7D"/>
    <w:rsid w:val="00085F77"/>
    <w:rsid w:val="0008616B"/>
    <w:rsid w:val="0008624B"/>
    <w:rsid w:val="00086366"/>
    <w:rsid w:val="0008693F"/>
    <w:rsid w:val="00086AAF"/>
    <w:rsid w:val="00086C7D"/>
    <w:rsid w:val="00086F62"/>
    <w:rsid w:val="0008796C"/>
    <w:rsid w:val="000879E5"/>
    <w:rsid w:val="0009002C"/>
    <w:rsid w:val="000900F7"/>
    <w:rsid w:val="00090756"/>
    <w:rsid w:val="00090B28"/>
    <w:rsid w:val="00090B9C"/>
    <w:rsid w:val="00090C62"/>
    <w:rsid w:val="00090F77"/>
    <w:rsid w:val="00091171"/>
    <w:rsid w:val="000919D8"/>
    <w:rsid w:val="00091EC2"/>
    <w:rsid w:val="0009276D"/>
    <w:rsid w:val="000927FE"/>
    <w:rsid w:val="000929C8"/>
    <w:rsid w:val="000929F2"/>
    <w:rsid w:val="000938EA"/>
    <w:rsid w:val="00093FDF"/>
    <w:rsid w:val="00094185"/>
    <w:rsid w:val="00094224"/>
    <w:rsid w:val="0009427A"/>
    <w:rsid w:val="0009464C"/>
    <w:rsid w:val="00094871"/>
    <w:rsid w:val="00094CAF"/>
    <w:rsid w:val="00094E8E"/>
    <w:rsid w:val="0009514F"/>
    <w:rsid w:val="00095B9A"/>
    <w:rsid w:val="00095BE7"/>
    <w:rsid w:val="00095DC8"/>
    <w:rsid w:val="00095E57"/>
    <w:rsid w:val="00095F77"/>
    <w:rsid w:val="000965C5"/>
    <w:rsid w:val="000966DB"/>
    <w:rsid w:val="00096A3C"/>
    <w:rsid w:val="00096E14"/>
    <w:rsid w:val="00096FA7"/>
    <w:rsid w:val="000970D9"/>
    <w:rsid w:val="0009727B"/>
    <w:rsid w:val="00097925"/>
    <w:rsid w:val="00097AFC"/>
    <w:rsid w:val="00097B84"/>
    <w:rsid w:val="00097C74"/>
    <w:rsid w:val="00097CB2"/>
    <w:rsid w:val="00097DC8"/>
    <w:rsid w:val="000A08C4"/>
    <w:rsid w:val="000A0A42"/>
    <w:rsid w:val="000A0C42"/>
    <w:rsid w:val="000A0E9C"/>
    <w:rsid w:val="000A120F"/>
    <w:rsid w:val="000A1704"/>
    <w:rsid w:val="000A197A"/>
    <w:rsid w:val="000A1C80"/>
    <w:rsid w:val="000A2088"/>
    <w:rsid w:val="000A2240"/>
    <w:rsid w:val="000A22D6"/>
    <w:rsid w:val="000A2842"/>
    <w:rsid w:val="000A28CB"/>
    <w:rsid w:val="000A2B7F"/>
    <w:rsid w:val="000A2C47"/>
    <w:rsid w:val="000A2C5A"/>
    <w:rsid w:val="000A2CBF"/>
    <w:rsid w:val="000A2CC0"/>
    <w:rsid w:val="000A2D09"/>
    <w:rsid w:val="000A30C7"/>
    <w:rsid w:val="000A34EC"/>
    <w:rsid w:val="000A3B16"/>
    <w:rsid w:val="000A3E74"/>
    <w:rsid w:val="000A3F91"/>
    <w:rsid w:val="000A401B"/>
    <w:rsid w:val="000A40D2"/>
    <w:rsid w:val="000A4166"/>
    <w:rsid w:val="000A435A"/>
    <w:rsid w:val="000A435B"/>
    <w:rsid w:val="000A4524"/>
    <w:rsid w:val="000A4564"/>
    <w:rsid w:val="000A46A0"/>
    <w:rsid w:val="000A4DA9"/>
    <w:rsid w:val="000A5450"/>
    <w:rsid w:val="000A58B7"/>
    <w:rsid w:val="000A6B98"/>
    <w:rsid w:val="000A6CCD"/>
    <w:rsid w:val="000A6F7D"/>
    <w:rsid w:val="000A7412"/>
    <w:rsid w:val="000A779E"/>
    <w:rsid w:val="000A77B3"/>
    <w:rsid w:val="000A77C4"/>
    <w:rsid w:val="000A7A6C"/>
    <w:rsid w:val="000A7D20"/>
    <w:rsid w:val="000A7DAB"/>
    <w:rsid w:val="000B02BC"/>
    <w:rsid w:val="000B04DB"/>
    <w:rsid w:val="000B056E"/>
    <w:rsid w:val="000B065E"/>
    <w:rsid w:val="000B07BE"/>
    <w:rsid w:val="000B1119"/>
    <w:rsid w:val="000B16AB"/>
    <w:rsid w:val="000B1714"/>
    <w:rsid w:val="000B18E1"/>
    <w:rsid w:val="000B1A8B"/>
    <w:rsid w:val="000B1C7E"/>
    <w:rsid w:val="000B2735"/>
    <w:rsid w:val="000B278E"/>
    <w:rsid w:val="000B27B7"/>
    <w:rsid w:val="000B29A5"/>
    <w:rsid w:val="000B2A6D"/>
    <w:rsid w:val="000B2B6C"/>
    <w:rsid w:val="000B2EB2"/>
    <w:rsid w:val="000B2F4B"/>
    <w:rsid w:val="000B3084"/>
    <w:rsid w:val="000B313C"/>
    <w:rsid w:val="000B33EE"/>
    <w:rsid w:val="000B39C5"/>
    <w:rsid w:val="000B3B66"/>
    <w:rsid w:val="000B487A"/>
    <w:rsid w:val="000B4D40"/>
    <w:rsid w:val="000B4DC3"/>
    <w:rsid w:val="000B5141"/>
    <w:rsid w:val="000B5377"/>
    <w:rsid w:val="000B5398"/>
    <w:rsid w:val="000B5C13"/>
    <w:rsid w:val="000B5F5D"/>
    <w:rsid w:val="000B6604"/>
    <w:rsid w:val="000B692F"/>
    <w:rsid w:val="000B6BC1"/>
    <w:rsid w:val="000B6D68"/>
    <w:rsid w:val="000B76E5"/>
    <w:rsid w:val="000B776F"/>
    <w:rsid w:val="000C0072"/>
    <w:rsid w:val="000C017F"/>
    <w:rsid w:val="000C023E"/>
    <w:rsid w:val="000C028C"/>
    <w:rsid w:val="000C0473"/>
    <w:rsid w:val="000C099D"/>
    <w:rsid w:val="000C1B1E"/>
    <w:rsid w:val="000C2051"/>
    <w:rsid w:val="000C244F"/>
    <w:rsid w:val="000C2689"/>
    <w:rsid w:val="000C2B13"/>
    <w:rsid w:val="000C32BA"/>
    <w:rsid w:val="000C3442"/>
    <w:rsid w:val="000C3569"/>
    <w:rsid w:val="000C3C50"/>
    <w:rsid w:val="000C3CF1"/>
    <w:rsid w:val="000C3E91"/>
    <w:rsid w:val="000C40D0"/>
    <w:rsid w:val="000C4126"/>
    <w:rsid w:val="000C4162"/>
    <w:rsid w:val="000C432F"/>
    <w:rsid w:val="000C47C4"/>
    <w:rsid w:val="000C4D17"/>
    <w:rsid w:val="000C4DD2"/>
    <w:rsid w:val="000C4E98"/>
    <w:rsid w:val="000C4EEF"/>
    <w:rsid w:val="000C4F9A"/>
    <w:rsid w:val="000C4FEB"/>
    <w:rsid w:val="000C5065"/>
    <w:rsid w:val="000C524A"/>
    <w:rsid w:val="000C5270"/>
    <w:rsid w:val="000C5436"/>
    <w:rsid w:val="000C5611"/>
    <w:rsid w:val="000C5620"/>
    <w:rsid w:val="000C5A8B"/>
    <w:rsid w:val="000C623A"/>
    <w:rsid w:val="000C655A"/>
    <w:rsid w:val="000C671E"/>
    <w:rsid w:val="000C6916"/>
    <w:rsid w:val="000C6B2C"/>
    <w:rsid w:val="000C6C40"/>
    <w:rsid w:val="000C6F3C"/>
    <w:rsid w:val="000C701A"/>
    <w:rsid w:val="000C7099"/>
    <w:rsid w:val="000C7195"/>
    <w:rsid w:val="000C7D51"/>
    <w:rsid w:val="000D0192"/>
    <w:rsid w:val="000D03CA"/>
    <w:rsid w:val="000D05A0"/>
    <w:rsid w:val="000D0771"/>
    <w:rsid w:val="000D0AD4"/>
    <w:rsid w:val="000D0B36"/>
    <w:rsid w:val="000D0CFF"/>
    <w:rsid w:val="000D0E44"/>
    <w:rsid w:val="000D104D"/>
    <w:rsid w:val="000D1232"/>
    <w:rsid w:val="000D19DB"/>
    <w:rsid w:val="000D1CBD"/>
    <w:rsid w:val="000D219A"/>
    <w:rsid w:val="000D2276"/>
    <w:rsid w:val="000D3055"/>
    <w:rsid w:val="000D31AD"/>
    <w:rsid w:val="000D322F"/>
    <w:rsid w:val="000D33C8"/>
    <w:rsid w:val="000D347F"/>
    <w:rsid w:val="000D386D"/>
    <w:rsid w:val="000D3AEB"/>
    <w:rsid w:val="000D3C1B"/>
    <w:rsid w:val="000D3E9E"/>
    <w:rsid w:val="000D3F74"/>
    <w:rsid w:val="000D4537"/>
    <w:rsid w:val="000D489A"/>
    <w:rsid w:val="000D4D2A"/>
    <w:rsid w:val="000D4DA7"/>
    <w:rsid w:val="000D4F82"/>
    <w:rsid w:val="000D4FA3"/>
    <w:rsid w:val="000D573C"/>
    <w:rsid w:val="000D5B44"/>
    <w:rsid w:val="000D62A9"/>
    <w:rsid w:val="000D62D0"/>
    <w:rsid w:val="000D639C"/>
    <w:rsid w:val="000D662D"/>
    <w:rsid w:val="000D66E6"/>
    <w:rsid w:val="000D6EDC"/>
    <w:rsid w:val="000D6EE7"/>
    <w:rsid w:val="000D71D6"/>
    <w:rsid w:val="000D73AD"/>
    <w:rsid w:val="000D78E1"/>
    <w:rsid w:val="000D7A4B"/>
    <w:rsid w:val="000D7B32"/>
    <w:rsid w:val="000E0042"/>
    <w:rsid w:val="000E063C"/>
    <w:rsid w:val="000E08E2"/>
    <w:rsid w:val="000E0BCF"/>
    <w:rsid w:val="000E0C42"/>
    <w:rsid w:val="000E0DF8"/>
    <w:rsid w:val="000E11B6"/>
    <w:rsid w:val="000E12AD"/>
    <w:rsid w:val="000E137A"/>
    <w:rsid w:val="000E1A09"/>
    <w:rsid w:val="000E1D43"/>
    <w:rsid w:val="000E2308"/>
    <w:rsid w:val="000E23E2"/>
    <w:rsid w:val="000E2D63"/>
    <w:rsid w:val="000E2E3B"/>
    <w:rsid w:val="000E2E8B"/>
    <w:rsid w:val="000E2EEB"/>
    <w:rsid w:val="000E3B0D"/>
    <w:rsid w:val="000E3BEE"/>
    <w:rsid w:val="000E3EB3"/>
    <w:rsid w:val="000E3F23"/>
    <w:rsid w:val="000E41ED"/>
    <w:rsid w:val="000E4941"/>
    <w:rsid w:val="000E4E56"/>
    <w:rsid w:val="000E50D4"/>
    <w:rsid w:val="000E5316"/>
    <w:rsid w:val="000E55D8"/>
    <w:rsid w:val="000E55EE"/>
    <w:rsid w:val="000E5A45"/>
    <w:rsid w:val="000E5B4C"/>
    <w:rsid w:val="000E5B5C"/>
    <w:rsid w:val="000E5CC7"/>
    <w:rsid w:val="000E5E5C"/>
    <w:rsid w:val="000E5F7D"/>
    <w:rsid w:val="000E6930"/>
    <w:rsid w:val="000E6A75"/>
    <w:rsid w:val="000E6E74"/>
    <w:rsid w:val="000E6F88"/>
    <w:rsid w:val="000E729C"/>
    <w:rsid w:val="000E7349"/>
    <w:rsid w:val="000E7771"/>
    <w:rsid w:val="000E7832"/>
    <w:rsid w:val="000E78DB"/>
    <w:rsid w:val="000E7C7B"/>
    <w:rsid w:val="000E7D4B"/>
    <w:rsid w:val="000E7FC5"/>
    <w:rsid w:val="000F016C"/>
    <w:rsid w:val="000F02E7"/>
    <w:rsid w:val="000F064D"/>
    <w:rsid w:val="000F06E0"/>
    <w:rsid w:val="000F0B46"/>
    <w:rsid w:val="000F0F43"/>
    <w:rsid w:val="000F18C4"/>
    <w:rsid w:val="000F199B"/>
    <w:rsid w:val="000F19AD"/>
    <w:rsid w:val="000F1F0E"/>
    <w:rsid w:val="000F20DB"/>
    <w:rsid w:val="000F2218"/>
    <w:rsid w:val="000F2417"/>
    <w:rsid w:val="000F246E"/>
    <w:rsid w:val="000F253A"/>
    <w:rsid w:val="000F2580"/>
    <w:rsid w:val="000F26F2"/>
    <w:rsid w:val="000F2706"/>
    <w:rsid w:val="000F280C"/>
    <w:rsid w:val="000F2967"/>
    <w:rsid w:val="000F2C5C"/>
    <w:rsid w:val="000F2CCD"/>
    <w:rsid w:val="000F363B"/>
    <w:rsid w:val="000F3912"/>
    <w:rsid w:val="000F3B69"/>
    <w:rsid w:val="000F3BCF"/>
    <w:rsid w:val="000F4202"/>
    <w:rsid w:val="000F4A1C"/>
    <w:rsid w:val="000F4D8F"/>
    <w:rsid w:val="000F527C"/>
    <w:rsid w:val="000F540E"/>
    <w:rsid w:val="000F58F4"/>
    <w:rsid w:val="000F59D2"/>
    <w:rsid w:val="000F5D5E"/>
    <w:rsid w:val="000F61DC"/>
    <w:rsid w:val="000F6CCF"/>
    <w:rsid w:val="000F7107"/>
    <w:rsid w:val="000F7335"/>
    <w:rsid w:val="000F797A"/>
    <w:rsid w:val="000F7F92"/>
    <w:rsid w:val="000F7FE2"/>
    <w:rsid w:val="00100008"/>
    <w:rsid w:val="00100324"/>
    <w:rsid w:val="001003DB"/>
    <w:rsid w:val="001006D0"/>
    <w:rsid w:val="0010084A"/>
    <w:rsid w:val="001009A8"/>
    <w:rsid w:val="00100D53"/>
    <w:rsid w:val="00100E0F"/>
    <w:rsid w:val="0010109C"/>
    <w:rsid w:val="0010122C"/>
    <w:rsid w:val="00101DC7"/>
    <w:rsid w:val="00102123"/>
    <w:rsid w:val="001026DD"/>
    <w:rsid w:val="00103444"/>
    <w:rsid w:val="00103638"/>
    <w:rsid w:val="00103881"/>
    <w:rsid w:val="00103B6F"/>
    <w:rsid w:val="0010418B"/>
    <w:rsid w:val="0010458C"/>
    <w:rsid w:val="00104CD4"/>
    <w:rsid w:val="00104EAC"/>
    <w:rsid w:val="00104EEC"/>
    <w:rsid w:val="00105178"/>
    <w:rsid w:val="00105A3E"/>
    <w:rsid w:val="00105DC0"/>
    <w:rsid w:val="00105DD3"/>
    <w:rsid w:val="00105ED2"/>
    <w:rsid w:val="00106097"/>
    <w:rsid w:val="001065AB"/>
    <w:rsid w:val="001067A1"/>
    <w:rsid w:val="00106A20"/>
    <w:rsid w:val="001072EF"/>
    <w:rsid w:val="0010759E"/>
    <w:rsid w:val="00107605"/>
    <w:rsid w:val="001077D5"/>
    <w:rsid w:val="00107939"/>
    <w:rsid w:val="00107E32"/>
    <w:rsid w:val="001101AA"/>
    <w:rsid w:val="0011053B"/>
    <w:rsid w:val="001109BD"/>
    <w:rsid w:val="00110CF5"/>
    <w:rsid w:val="00110F4F"/>
    <w:rsid w:val="00110FBD"/>
    <w:rsid w:val="00111097"/>
    <w:rsid w:val="001114C4"/>
    <w:rsid w:val="0011186F"/>
    <w:rsid w:val="00111C8C"/>
    <w:rsid w:val="001126BB"/>
    <w:rsid w:val="001127AF"/>
    <w:rsid w:val="001128CA"/>
    <w:rsid w:val="00112E64"/>
    <w:rsid w:val="00113070"/>
    <w:rsid w:val="00113190"/>
    <w:rsid w:val="00113806"/>
    <w:rsid w:val="001138A3"/>
    <w:rsid w:val="00113F22"/>
    <w:rsid w:val="00114229"/>
    <w:rsid w:val="001142CE"/>
    <w:rsid w:val="0011440D"/>
    <w:rsid w:val="0011452E"/>
    <w:rsid w:val="00114567"/>
    <w:rsid w:val="001148E3"/>
    <w:rsid w:val="00114A56"/>
    <w:rsid w:val="00114DFE"/>
    <w:rsid w:val="00115333"/>
    <w:rsid w:val="00115469"/>
    <w:rsid w:val="001154AA"/>
    <w:rsid w:val="001156E3"/>
    <w:rsid w:val="001156F7"/>
    <w:rsid w:val="00115780"/>
    <w:rsid w:val="00115A48"/>
    <w:rsid w:val="00115FA7"/>
    <w:rsid w:val="001160DC"/>
    <w:rsid w:val="00116841"/>
    <w:rsid w:val="00116958"/>
    <w:rsid w:val="00116A2D"/>
    <w:rsid w:val="00116A30"/>
    <w:rsid w:val="00116A46"/>
    <w:rsid w:val="00116A78"/>
    <w:rsid w:val="00116B95"/>
    <w:rsid w:val="00116D80"/>
    <w:rsid w:val="00117018"/>
    <w:rsid w:val="00117246"/>
    <w:rsid w:val="0011738F"/>
    <w:rsid w:val="00117436"/>
    <w:rsid w:val="00117945"/>
    <w:rsid w:val="00117E62"/>
    <w:rsid w:val="00120128"/>
    <w:rsid w:val="0012023E"/>
    <w:rsid w:val="0012027A"/>
    <w:rsid w:val="001207D4"/>
    <w:rsid w:val="001208E4"/>
    <w:rsid w:val="0012136F"/>
    <w:rsid w:val="00121686"/>
    <w:rsid w:val="00121742"/>
    <w:rsid w:val="0012198F"/>
    <w:rsid w:val="001219C4"/>
    <w:rsid w:val="00121A44"/>
    <w:rsid w:val="0012211C"/>
    <w:rsid w:val="00122194"/>
    <w:rsid w:val="001224AF"/>
    <w:rsid w:val="00122B71"/>
    <w:rsid w:val="00122B78"/>
    <w:rsid w:val="001230CE"/>
    <w:rsid w:val="00123498"/>
    <w:rsid w:val="00123B14"/>
    <w:rsid w:val="00123B49"/>
    <w:rsid w:val="00123CAD"/>
    <w:rsid w:val="001240A6"/>
    <w:rsid w:val="001241DE"/>
    <w:rsid w:val="001246C0"/>
    <w:rsid w:val="00124B3B"/>
    <w:rsid w:val="00125071"/>
    <w:rsid w:val="00125241"/>
    <w:rsid w:val="001253D3"/>
    <w:rsid w:val="00125D3D"/>
    <w:rsid w:val="00125EDD"/>
    <w:rsid w:val="00126166"/>
    <w:rsid w:val="001263DB"/>
    <w:rsid w:val="001264D3"/>
    <w:rsid w:val="0012653A"/>
    <w:rsid w:val="0012660A"/>
    <w:rsid w:val="00126B40"/>
    <w:rsid w:val="00126CF2"/>
    <w:rsid w:val="00126E86"/>
    <w:rsid w:val="00127001"/>
    <w:rsid w:val="001271F4"/>
    <w:rsid w:val="0012726F"/>
    <w:rsid w:val="0012742B"/>
    <w:rsid w:val="00127BC6"/>
    <w:rsid w:val="00127D8E"/>
    <w:rsid w:val="0013020A"/>
    <w:rsid w:val="00130380"/>
    <w:rsid w:val="001308C6"/>
    <w:rsid w:val="00130A2F"/>
    <w:rsid w:val="0013111D"/>
    <w:rsid w:val="0013118C"/>
    <w:rsid w:val="001312D2"/>
    <w:rsid w:val="001316D8"/>
    <w:rsid w:val="001319E3"/>
    <w:rsid w:val="00131BF4"/>
    <w:rsid w:val="00131C6B"/>
    <w:rsid w:val="00131D87"/>
    <w:rsid w:val="00131DC5"/>
    <w:rsid w:val="00131F64"/>
    <w:rsid w:val="001324E6"/>
    <w:rsid w:val="00132EC6"/>
    <w:rsid w:val="00132FDF"/>
    <w:rsid w:val="0013301B"/>
    <w:rsid w:val="00133138"/>
    <w:rsid w:val="001331FC"/>
    <w:rsid w:val="00133279"/>
    <w:rsid w:val="001334F3"/>
    <w:rsid w:val="001338A8"/>
    <w:rsid w:val="00133A28"/>
    <w:rsid w:val="00133BA3"/>
    <w:rsid w:val="00133D06"/>
    <w:rsid w:val="00133D3A"/>
    <w:rsid w:val="0013435D"/>
    <w:rsid w:val="00134710"/>
    <w:rsid w:val="001347A7"/>
    <w:rsid w:val="0013509D"/>
    <w:rsid w:val="00135169"/>
    <w:rsid w:val="001352DB"/>
    <w:rsid w:val="00135438"/>
    <w:rsid w:val="001354D7"/>
    <w:rsid w:val="001354EC"/>
    <w:rsid w:val="00135510"/>
    <w:rsid w:val="00135533"/>
    <w:rsid w:val="001356DF"/>
    <w:rsid w:val="00135735"/>
    <w:rsid w:val="001358A6"/>
    <w:rsid w:val="00135B9C"/>
    <w:rsid w:val="00135CF2"/>
    <w:rsid w:val="001363E7"/>
    <w:rsid w:val="0013652C"/>
    <w:rsid w:val="0013678D"/>
    <w:rsid w:val="001369F9"/>
    <w:rsid w:val="00136A74"/>
    <w:rsid w:val="00136D9B"/>
    <w:rsid w:val="00136DB2"/>
    <w:rsid w:val="00137078"/>
    <w:rsid w:val="001372B1"/>
    <w:rsid w:val="001372EC"/>
    <w:rsid w:val="00137709"/>
    <w:rsid w:val="001378CC"/>
    <w:rsid w:val="0013795E"/>
    <w:rsid w:val="00137D9E"/>
    <w:rsid w:val="00140312"/>
    <w:rsid w:val="001406BA"/>
    <w:rsid w:val="0014096E"/>
    <w:rsid w:val="00140B37"/>
    <w:rsid w:val="00140C5E"/>
    <w:rsid w:val="00140CC2"/>
    <w:rsid w:val="00141084"/>
    <w:rsid w:val="0014164D"/>
    <w:rsid w:val="0014182B"/>
    <w:rsid w:val="00141A24"/>
    <w:rsid w:val="00141AC0"/>
    <w:rsid w:val="00141C7A"/>
    <w:rsid w:val="00141EEE"/>
    <w:rsid w:val="00141F1E"/>
    <w:rsid w:val="00141FAC"/>
    <w:rsid w:val="00142460"/>
    <w:rsid w:val="00143337"/>
    <w:rsid w:val="00143519"/>
    <w:rsid w:val="00143576"/>
    <w:rsid w:val="00143840"/>
    <w:rsid w:val="00143B16"/>
    <w:rsid w:val="00143C85"/>
    <w:rsid w:val="001441B4"/>
    <w:rsid w:val="00144954"/>
    <w:rsid w:val="00144AF8"/>
    <w:rsid w:val="0014506A"/>
    <w:rsid w:val="0014526C"/>
    <w:rsid w:val="001455E7"/>
    <w:rsid w:val="00145733"/>
    <w:rsid w:val="00145BF2"/>
    <w:rsid w:val="00145DB6"/>
    <w:rsid w:val="001465B0"/>
    <w:rsid w:val="001467D5"/>
    <w:rsid w:val="00146835"/>
    <w:rsid w:val="001469AB"/>
    <w:rsid w:val="00147060"/>
    <w:rsid w:val="0014771F"/>
    <w:rsid w:val="00147846"/>
    <w:rsid w:val="00147911"/>
    <w:rsid w:val="00147B0C"/>
    <w:rsid w:val="0015011E"/>
    <w:rsid w:val="001501E2"/>
    <w:rsid w:val="001503CB"/>
    <w:rsid w:val="00150B07"/>
    <w:rsid w:val="00150E4E"/>
    <w:rsid w:val="0015130F"/>
    <w:rsid w:val="001513C6"/>
    <w:rsid w:val="00151736"/>
    <w:rsid w:val="0015173C"/>
    <w:rsid w:val="00151944"/>
    <w:rsid w:val="001528F1"/>
    <w:rsid w:val="00152902"/>
    <w:rsid w:val="00152D9E"/>
    <w:rsid w:val="00152F37"/>
    <w:rsid w:val="0015303C"/>
    <w:rsid w:val="00153D3D"/>
    <w:rsid w:val="00154043"/>
    <w:rsid w:val="0015424F"/>
    <w:rsid w:val="001547AA"/>
    <w:rsid w:val="00154B12"/>
    <w:rsid w:val="00154E38"/>
    <w:rsid w:val="00154EC3"/>
    <w:rsid w:val="00154F69"/>
    <w:rsid w:val="00155165"/>
    <w:rsid w:val="0015529C"/>
    <w:rsid w:val="00155381"/>
    <w:rsid w:val="00155B10"/>
    <w:rsid w:val="00155EC1"/>
    <w:rsid w:val="00156178"/>
    <w:rsid w:val="001563A5"/>
    <w:rsid w:val="00156B93"/>
    <w:rsid w:val="00156C0B"/>
    <w:rsid w:val="00156EDB"/>
    <w:rsid w:val="00157119"/>
    <w:rsid w:val="00157154"/>
    <w:rsid w:val="0015771F"/>
    <w:rsid w:val="00157815"/>
    <w:rsid w:val="00157BB4"/>
    <w:rsid w:val="00157C2B"/>
    <w:rsid w:val="00157CD5"/>
    <w:rsid w:val="00160A70"/>
    <w:rsid w:val="001613B9"/>
    <w:rsid w:val="0016158F"/>
    <w:rsid w:val="0016162F"/>
    <w:rsid w:val="001619A3"/>
    <w:rsid w:val="0016234C"/>
    <w:rsid w:val="001624E2"/>
    <w:rsid w:val="001625EC"/>
    <w:rsid w:val="001626FA"/>
    <w:rsid w:val="0016276B"/>
    <w:rsid w:val="0016344B"/>
    <w:rsid w:val="0016379F"/>
    <w:rsid w:val="00163B5E"/>
    <w:rsid w:val="00163FDA"/>
    <w:rsid w:val="00164214"/>
    <w:rsid w:val="0016466F"/>
    <w:rsid w:val="00164671"/>
    <w:rsid w:val="001646E8"/>
    <w:rsid w:val="00164AF9"/>
    <w:rsid w:val="00165084"/>
    <w:rsid w:val="0016513C"/>
    <w:rsid w:val="00165368"/>
    <w:rsid w:val="00165371"/>
    <w:rsid w:val="0016556B"/>
    <w:rsid w:val="0016582C"/>
    <w:rsid w:val="00165A5B"/>
    <w:rsid w:val="0016622F"/>
    <w:rsid w:val="00166251"/>
    <w:rsid w:val="001662C5"/>
    <w:rsid w:val="001669DA"/>
    <w:rsid w:val="00166A13"/>
    <w:rsid w:val="00166B4A"/>
    <w:rsid w:val="00166BD1"/>
    <w:rsid w:val="00167195"/>
    <w:rsid w:val="001673F6"/>
    <w:rsid w:val="00167516"/>
    <w:rsid w:val="0016759F"/>
    <w:rsid w:val="001677A2"/>
    <w:rsid w:val="00167948"/>
    <w:rsid w:val="00167AE5"/>
    <w:rsid w:val="00167E6C"/>
    <w:rsid w:val="00167F28"/>
    <w:rsid w:val="00167F59"/>
    <w:rsid w:val="0017078F"/>
    <w:rsid w:val="00171764"/>
    <w:rsid w:val="00171868"/>
    <w:rsid w:val="001718E0"/>
    <w:rsid w:val="00171DD8"/>
    <w:rsid w:val="00171E7F"/>
    <w:rsid w:val="001722B4"/>
    <w:rsid w:val="00172316"/>
    <w:rsid w:val="001723A3"/>
    <w:rsid w:val="00172412"/>
    <w:rsid w:val="0017243D"/>
    <w:rsid w:val="00172965"/>
    <w:rsid w:val="001729C9"/>
    <w:rsid w:val="00172B0B"/>
    <w:rsid w:val="00172E06"/>
    <w:rsid w:val="00172FB9"/>
    <w:rsid w:val="001732BA"/>
    <w:rsid w:val="00173630"/>
    <w:rsid w:val="0017367F"/>
    <w:rsid w:val="00173FE6"/>
    <w:rsid w:val="001746BE"/>
    <w:rsid w:val="001747C8"/>
    <w:rsid w:val="001747E9"/>
    <w:rsid w:val="00174E5F"/>
    <w:rsid w:val="0017509E"/>
    <w:rsid w:val="0017513C"/>
    <w:rsid w:val="0017546E"/>
    <w:rsid w:val="0017561C"/>
    <w:rsid w:val="001758CD"/>
    <w:rsid w:val="0017640C"/>
    <w:rsid w:val="001765A6"/>
    <w:rsid w:val="00177670"/>
    <w:rsid w:val="0017792D"/>
    <w:rsid w:val="00177D0E"/>
    <w:rsid w:val="0018018F"/>
    <w:rsid w:val="0018085F"/>
    <w:rsid w:val="001808F0"/>
    <w:rsid w:val="00180A01"/>
    <w:rsid w:val="00180ADA"/>
    <w:rsid w:val="00180AF0"/>
    <w:rsid w:val="00180E63"/>
    <w:rsid w:val="00180FE8"/>
    <w:rsid w:val="00181405"/>
    <w:rsid w:val="001815F8"/>
    <w:rsid w:val="0018193A"/>
    <w:rsid w:val="001819BD"/>
    <w:rsid w:val="00181B31"/>
    <w:rsid w:val="00181D53"/>
    <w:rsid w:val="00181D87"/>
    <w:rsid w:val="00181DC3"/>
    <w:rsid w:val="00182083"/>
    <w:rsid w:val="0018221E"/>
    <w:rsid w:val="0018273A"/>
    <w:rsid w:val="0018278B"/>
    <w:rsid w:val="00182B8A"/>
    <w:rsid w:val="00182E0C"/>
    <w:rsid w:val="001835E7"/>
    <w:rsid w:val="00183847"/>
    <w:rsid w:val="00183AF8"/>
    <w:rsid w:val="00183F40"/>
    <w:rsid w:val="0018426A"/>
    <w:rsid w:val="001844EA"/>
    <w:rsid w:val="0018484C"/>
    <w:rsid w:val="00184860"/>
    <w:rsid w:val="001849BA"/>
    <w:rsid w:val="00184A78"/>
    <w:rsid w:val="00184AF7"/>
    <w:rsid w:val="00184B82"/>
    <w:rsid w:val="0018502B"/>
    <w:rsid w:val="00185325"/>
    <w:rsid w:val="00185365"/>
    <w:rsid w:val="00185539"/>
    <w:rsid w:val="0018613D"/>
    <w:rsid w:val="00186370"/>
    <w:rsid w:val="0018694F"/>
    <w:rsid w:val="00187044"/>
    <w:rsid w:val="001870D6"/>
    <w:rsid w:val="001873E0"/>
    <w:rsid w:val="001901C4"/>
    <w:rsid w:val="0019044D"/>
    <w:rsid w:val="00190551"/>
    <w:rsid w:val="00190654"/>
    <w:rsid w:val="001906A6"/>
    <w:rsid w:val="001907BA"/>
    <w:rsid w:val="001908C2"/>
    <w:rsid w:val="0019095F"/>
    <w:rsid w:val="00190978"/>
    <w:rsid w:val="001909D4"/>
    <w:rsid w:val="00190C42"/>
    <w:rsid w:val="00190F11"/>
    <w:rsid w:val="00191167"/>
    <w:rsid w:val="0019121C"/>
    <w:rsid w:val="00191416"/>
    <w:rsid w:val="0019180D"/>
    <w:rsid w:val="00191D69"/>
    <w:rsid w:val="0019241F"/>
    <w:rsid w:val="001925FC"/>
    <w:rsid w:val="0019280D"/>
    <w:rsid w:val="001929AF"/>
    <w:rsid w:val="00192EF6"/>
    <w:rsid w:val="00192F1C"/>
    <w:rsid w:val="001930C7"/>
    <w:rsid w:val="00193190"/>
    <w:rsid w:val="001932F2"/>
    <w:rsid w:val="0019371F"/>
    <w:rsid w:val="0019382D"/>
    <w:rsid w:val="001939A8"/>
    <w:rsid w:val="001944A8"/>
    <w:rsid w:val="00194556"/>
    <w:rsid w:val="00194559"/>
    <w:rsid w:val="00194A31"/>
    <w:rsid w:val="00194B43"/>
    <w:rsid w:val="00194D40"/>
    <w:rsid w:val="00195094"/>
    <w:rsid w:val="0019519D"/>
    <w:rsid w:val="001951DE"/>
    <w:rsid w:val="001954B1"/>
    <w:rsid w:val="0019570D"/>
    <w:rsid w:val="00195893"/>
    <w:rsid w:val="00195EAB"/>
    <w:rsid w:val="0019621E"/>
    <w:rsid w:val="001964BE"/>
    <w:rsid w:val="001965F6"/>
    <w:rsid w:val="001966E7"/>
    <w:rsid w:val="001970B4"/>
    <w:rsid w:val="00197938"/>
    <w:rsid w:val="00197AEC"/>
    <w:rsid w:val="00197B1B"/>
    <w:rsid w:val="00197F61"/>
    <w:rsid w:val="001A02DB"/>
    <w:rsid w:val="001A0387"/>
    <w:rsid w:val="001A089A"/>
    <w:rsid w:val="001A0DBA"/>
    <w:rsid w:val="001A0E80"/>
    <w:rsid w:val="001A0EA8"/>
    <w:rsid w:val="001A1268"/>
    <w:rsid w:val="001A16D3"/>
    <w:rsid w:val="001A1814"/>
    <w:rsid w:val="001A18AF"/>
    <w:rsid w:val="001A1B3E"/>
    <w:rsid w:val="001A1E54"/>
    <w:rsid w:val="001A1F40"/>
    <w:rsid w:val="001A2218"/>
    <w:rsid w:val="001A26A8"/>
    <w:rsid w:val="001A2AF9"/>
    <w:rsid w:val="001A334A"/>
    <w:rsid w:val="001A35C2"/>
    <w:rsid w:val="001A3780"/>
    <w:rsid w:val="001A38AF"/>
    <w:rsid w:val="001A3962"/>
    <w:rsid w:val="001A3B6B"/>
    <w:rsid w:val="001A3D18"/>
    <w:rsid w:val="001A4070"/>
    <w:rsid w:val="001A44DE"/>
    <w:rsid w:val="001A4745"/>
    <w:rsid w:val="001A474D"/>
    <w:rsid w:val="001A4E0D"/>
    <w:rsid w:val="001A4E46"/>
    <w:rsid w:val="001A577A"/>
    <w:rsid w:val="001A57D6"/>
    <w:rsid w:val="001A597F"/>
    <w:rsid w:val="001A5B82"/>
    <w:rsid w:val="001A63D1"/>
    <w:rsid w:val="001A6475"/>
    <w:rsid w:val="001A6810"/>
    <w:rsid w:val="001A6DD8"/>
    <w:rsid w:val="001A6F70"/>
    <w:rsid w:val="001A71F5"/>
    <w:rsid w:val="001A7639"/>
    <w:rsid w:val="001A7867"/>
    <w:rsid w:val="001A7A88"/>
    <w:rsid w:val="001B04E1"/>
    <w:rsid w:val="001B07BC"/>
    <w:rsid w:val="001B12AF"/>
    <w:rsid w:val="001B1620"/>
    <w:rsid w:val="001B1717"/>
    <w:rsid w:val="001B18EA"/>
    <w:rsid w:val="001B1A9D"/>
    <w:rsid w:val="001B1B49"/>
    <w:rsid w:val="001B276A"/>
    <w:rsid w:val="001B28BD"/>
    <w:rsid w:val="001B296F"/>
    <w:rsid w:val="001B2C61"/>
    <w:rsid w:val="001B2D22"/>
    <w:rsid w:val="001B2E4B"/>
    <w:rsid w:val="001B2E5C"/>
    <w:rsid w:val="001B30A7"/>
    <w:rsid w:val="001B3550"/>
    <w:rsid w:val="001B35D9"/>
    <w:rsid w:val="001B36A5"/>
    <w:rsid w:val="001B36FE"/>
    <w:rsid w:val="001B37DF"/>
    <w:rsid w:val="001B40DA"/>
    <w:rsid w:val="001B500A"/>
    <w:rsid w:val="001B5343"/>
    <w:rsid w:val="001B5442"/>
    <w:rsid w:val="001B55E8"/>
    <w:rsid w:val="001B5B99"/>
    <w:rsid w:val="001B5D99"/>
    <w:rsid w:val="001B6048"/>
    <w:rsid w:val="001B612A"/>
    <w:rsid w:val="001B6A3C"/>
    <w:rsid w:val="001B6C02"/>
    <w:rsid w:val="001B6C9C"/>
    <w:rsid w:val="001B6CD1"/>
    <w:rsid w:val="001B7107"/>
    <w:rsid w:val="001B7269"/>
    <w:rsid w:val="001B7B08"/>
    <w:rsid w:val="001B7F7E"/>
    <w:rsid w:val="001C025D"/>
    <w:rsid w:val="001C045A"/>
    <w:rsid w:val="001C0635"/>
    <w:rsid w:val="001C07B8"/>
    <w:rsid w:val="001C089B"/>
    <w:rsid w:val="001C0BCD"/>
    <w:rsid w:val="001C0D12"/>
    <w:rsid w:val="001C0EF1"/>
    <w:rsid w:val="001C10DB"/>
    <w:rsid w:val="001C138F"/>
    <w:rsid w:val="001C159E"/>
    <w:rsid w:val="001C1649"/>
    <w:rsid w:val="001C17BC"/>
    <w:rsid w:val="001C1DA2"/>
    <w:rsid w:val="001C1EDB"/>
    <w:rsid w:val="001C2364"/>
    <w:rsid w:val="001C280E"/>
    <w:rsid w:val="001C2928"/>
    <w:rsid w:val="001C29A7"/>
    <w:rsid w:val="001C2B93"/>
    <w:rsid w:val="001C2CC3"/>
    <w:rsid w:val="001C2DED"/>
    <w:rsid w:val="001C2EA4"/>
    <w:rsid w:val="001C33BF"/>
    <w:rsid w:val="001C35F4"/>
    <w:rsid w:val="001C3618"/>
    <w:rsid w:val="001C369B"/>
    <w:rsid w:val="001C382B"/>
    <w:rsid w:val="001C3B0F"/>
    <w:rsid w:val="001C499F"/>
    <w:rsid w:val="001C4ABD"/>
    <w:rsid w:val="001C4D9D"/>
    <w:rsid w:val="001C5052"/>
    <w:rsid w:val="001C506E"/>
    <w:rsid w:val="001C5223"/>
    <w:rsid w:val="001C5459"/>
    <w:rsid w:val="001C5997"/>
    <w:rsid w:val="001C5A5A"/>
    <w:rsid w:val="001C5FDF"/>
    <w:rsid w:val="001C6106"/>
    <w:rsid w:val="001C6355"/>
    <w:rsid w:val="001C6554"/>
    <w:rsid w:val="001C6574"/>
    <w:rsid w:val="001C65D3"/>
    <w:rsid w:val="001C6633"/>
    <w:rsid w:val="001C6694"/>
    <w:rsid w:val="001C68EE"/>
    <w:rsid w:val="001C697A"/>
    <w:rsid w:val="001C6D42"/>
    <w:rsid w:val="001C790D"/>
    <w:rsid w:val="001C7E3B"/>
    <w:rsid w:val="001C7E82"/>
    <w:rsid w:val="001C7EE4"/>
    <w:rsid w:val="001C7FA0"/>
    <w:rsid w:val="001D012A"/>
    <w:rsid w:val="001D076E"/>
    <w:rsid w:val="001D07DE"/>
    <w:rsid w:val="001D0AD7"/>
    <w:rsid w:val="001D0B56"/>
    <w:rsid w:val="001D0C31"/>
    <w:rsid w:val="001D10DC"/>
    <w:rsid w:val="001D1277"/>
    <w:rsid w:val="001D1E4C"/>
    <w:rsid w:val="001D1E86"/>
    <w:rsid w:val="001D1FDD"/>
    <w:rsid w:val="001D2308"/>
    <w:rsid w:val="001D24FC"/>
    <w:rsid w:val="001D288C"/>
    <w:rsid w:val="001D29E8"/>
    <w:rsid w:val="001D2CF4"/>
    <w:rsid w:val="001D307D"/>
    <w:rsid w:val="001D321E"/>
    <w:rsid w:val="001D329F"/>
    <w:rsid w:val="001D34BF"/>
    <w:rsid w:val="001D3684"/>
    <w:rsid w:val="001D373E"/>
    <w:rsid w:val="001D3AAB"/>
    <w:rsid w:val="001D3C78"/>
    <w:rsid w:val="001D3E1E"/>
    <w:rsid w:val="001D3E7D"/>
    <w:rsid w:val="001D46DA"/>
    <w:rsid w:val="001D4B8D"/>
    <w:rsid w:val="001D4D2C"/>
    <w:rsid w:val="001D4EEC"/>
    <w:rsid w:val="001D4FD5"/>
    <w:rsid w:val="001D5794"/>
    <w:rsid w:val="001D591C"/>
    <w:rsid w:val="001D59FE"/>
    <w:rsid w:val="001D5D79"/>
    <w:rsid w:val="001D5ECA"/>
    <w:rsid w:val="001D5FBE"/>
    <w:rsid w:val="001D5FE8"/>
    <w:rsid w:val="001D6240"/>
    <w:rsid w:val="001D6AC6"/>
    <w:rsid w:val="001D6D2C"/>
    <w:rsid w:val="001D6F5C"/>
    <w:rsid w:val="001D76CE"/>
    <w:rsid w:val="001D78CD"/>
    <w:rsid w:val="001D792D"/>
    <w:rsid w:val="001D7977"/>
    <w:rsid w:val="001E04F5"/>
    <w:rsid w:val="001E0A0A"/>
    <w:rsid w:val="001E0B3B"/>
    <w:rsid w:val="001E111B"/>
    <w:rsid w:val="001E136A"/>
    <w:rsid w:val="001E13EE"/>
    <w:rsid w:val="001E1B63"/>
    <w:rsid w:val="001E1C4C"/>
    <w:rsid w:val="001E1D5E"/>
    <w:rsid w:val="001E1F29"/>
    <w:rsid w:val="001E2163"/>
    <w:rsid w:val="001E2172"/>
    <w:rsid w:val="001E241D"/>
    <w:rsid w:val="001E2893"/>
    <w:rsid w:val="001E2E6D"/>
    <w:rsid w:val="001E37DE"/>
    <w:rsid w:val="001E3E6C"/>
    <w:rsid w:val="001E3F3D"/>
    <w:rsid w:val="001E4497"/>
    <w:rsid w:val="001E44C8"/>
    <w:rsid w:val="001E44D6"/>
    <w:rsid w:val="001E47F4"/>
    <w:rsid w:val="001E482A"/>
    <w:rsid w:val="001E4A30"/>
    <w:rsid w:val="001E4EA5"/>
    <w:rsid w:val="001E4F24"/>
    <w:rsid w:val="001E55DE"/>
    <w:rsid w:val="001E5AF9"/>
    <w:rsid w:val="001E5F0C"/>
    <w:rsid w:val="001E6A97"/>
    <w:rsid w:val="001E6B13"/>
    <w:rsid w:val="001E6CE2"/>
    <w:rsid w:val="001E6FD4"/>
    <w:rsid w:val="001E7188"/>
    <w:rsid w:val="001E73B8"/>
    <w:rsid w:val="001E76B2"/>
    <w:rsid w:val="001E7765"/>
    <w:rsid w:val="001E7853"/>
    <w:rsid w:val="001E7F48"/>
    <w:rsid w:val="001F072C"/>
    <w:rsid w:val="001F0814"/>
    <w:rsid w:val="001F0885"/>
    <w:rsid w:val="001F09E8"/>
    <w:rsid w:val="001F09F4"/>
    <w:rsid w:val="001F0D39"/>
    <w:rsid w:val="001F0D67"/>
    <w:rsid w:val="001F1150"/>
    <w:rsid w:val="001F1454"/>
    <w:rsid w:val="001F172E"/>
    <w:rsid w:val="001F1B77"/>
    <w:rsid w:val="001F1BB8"/>
    <w:rsid w:val="001F1BE0"/>
    <w:rsid w:val="001F1D20"/>
    <w:rsid w:val="001F23A6"/>
    <w:rsid w:val="001F249D"/>
    <w:rsid w:val="001F25BE"/>
    <w:rsid w:val="001F276F"/>
    <w:rsid w:val="001F29A7"/>
    <w:rsid w:val="001F2D96"/>
    <w:rsid w:val="001F301F"/>
    <w:rsid w:val="001F35B6"/>
    <w:rsid w:val="001F3612"/>
    <w:rsid w:val="001F3939"/>
    <w:rsid w:val="001F39B6"/>
    <w:rsid w:val="001F3DD0"/>
    <w:rsid w:val="001F41A4"/>
    <w:rsid w:val="001F4231"/>
    <w:rsid w:val="001F4694"/>
    <w:rsid w:val="001F47E7"/>
    <w:rsid w:val="001F4A6C"/>
    <w:rsid w:val="001F4D5D"/>
    <w:rsid w:val="001F4E7F"/>
    <w:rsid w:val="001F4ED0"/>
    <w:rsid w:val="001F523B"/>
    <w:rsid w:val="001F534F"/>
    <w:rsid w:val="001F53FB"/>
    <w:rsid w:val="001F5448"/>
    <w:rsid w:val="001F5680"/>
    <w:rsid w:val="001F5A91"/>
    <w:rsid w:val="001F60C4"/>
    <w:rsid w:val="001F66DA"/>
    <w:rsid w:val="001F6791"/>
    <w:rsid w:val="001F6A5E"/>
    <w:rsid w:val="001F6ACA"/>
    <w:rsid w:val="001F6D24"/>
    <w:rsid w:val="001F6D7E"/>
    <w:rsid w:val="001F6F85"/>
    <w:rsid w:val="001F745A"/>
    <w:rsid w:val="001F74C6"/>
    <w:rsid w:val="001F7547"/>
    <w:rsid w:val="001F77D9"/>
    <w:rsid w:val="001F7810"/>
    <w:rsid w:val="001F7AB4"/>
    <w:rsid w:val="001F7B67"/>
    <w:rsid w:val="001F7C9B"/>
    <w:rsid w:val="00200384"/>
    <w:rsid w:val="002003EA"/>
    <w:rsid w:val="0020046A"/>
    <w:rsid w:val="00200933"/>
    <w:rsid w:val="00200AB8"/>
    <w:rsid w:val="00200BF2"/>
    <w:rsid w:val="00200D1F"/>
    <w:rsid w:val="00200D9B"/>
    <w:rsid w:val="0020129B"/>
    <w:rsid w:val="0020142E"/>
    <w:rsid w:val="00201589"/>
    <w:rsid w:val="002015BE"/>
    <w:rsid w:val="002016BA"/>
    <w:rsid w:val="00201ADD"/>
    <w:rsid w:val="00201D35"/>
    <w:rsid w:val="00201D3A"/>
    <w:rsid w:val="002021B8"/>
    <w:rsid w:val="002021FC"/>
    <w:rsid w:val="00202481"/>
    <w:rsid w:val="00202720"/>
    <w:rsid w:val="00202779"/>
    <w:rsid w:val="00202936"/>
    <w:rsid w:val="002029B1"/>
    <w:rsid w:val="00202F4C"/>
    <w:rsid w:val="00203007"/>
    <w:rsid w:val="002034CB"/>
    <w:rsid w:val="00203512"/>
    <w:rsid w:val="00203658"/>
    <w:rsid w:val="00203736"/>
    <w:rsid w:val="00203787"/>
    <w:rsid w:val="00203BC7"/>
    <w:rsid w:val="002043D7"/>
    <w:rsid w:val="0020468D"/>
    <w:rsid w:val="0020477C"/>
    <w:rsid w:val="00204A8E"/>
    <w:rsid w:val="00204ED7"/>
    <w:rsid w:val="00204F4C"/>
    <w:rsid w:val="00205231"/>
    <w:rsid w:val="00205265"/>
    <w:rsid w:val="0020528F"/>
    <w:rsid w:val="0020539E"/>
    <w:rsid w:val="002055B2"/>
    <w:rsid w:val="0020570F"/>
    <w:rsid w:val="0020585E"/>
    <w:rsid w:val="002058A4"/>
    <w:rsid w:val="00205D38"/>
    <w:rsid w:val="0020630F"/>
    <w:rsid w:val="0020634D"/>
    <w:rsid w:val="00206379"/>
    <w:rsid w:val="0020643C"/>
    <w:rsid w:val="0020672D"/>
    <w:rsid w:val="002067B0"/>
    <w:rsid w:val="00206868"/>
    <w:rsid w:val="0020688A"/>
    <w:rsid w:val="00206B80"/>
    <w:rsid w:val="00206BAE"/>
    <w:rsid w:val="00206ED9"/>
    <w:rsid w:val="00207209"/>
    <w:rsid w:val="0020725C"/>
    <w:rsid w:val="0020737A"/>
    <w:rsid w:val="002073B1"/>
    <w:rsid w:val="00207639"/>
    <w:rsid w:val="0020772E"/>
    <w:rsid w:val="00207A41"/>
    <w:rsid w:val="00207C46"/>
    <w:rsid w:val="00210284"/>
    <w:rsid w:val="002102B4"/>
    <w:rsid w:val="00210635"/>
    <w:rsid w:val="0021074F"/>
    <w:rsid w:val="00210AA9"/>
    <w:rsid w:val="002111B2"/>
    <w:rsid w:val="002114FD"/>
    <w:rsid w:val="00211988"/>
    <w:rsid w:val="002119CC"/>
    <w:rsid w:val="00211C0B"/>
    <w:rsid w:val="00211C78"/>
    <w:rsid w:val="002121F4"/>
    <w:rsid w:val="00212403"/>
    <w:rsid w:val="00212637"/>
    <w:rsid w:val="0021272E"/>
    <w:rsid w:val="00212822"/>
    <w:rsid w:val="0021282B"/>
    <w:rsid w:val="00212C08"/>
    <w:rsid w:val="00212E3D"/>
    <w:rsid w:val="002131DD"/>
    <w:rsid w:val="00213A38"/>
    <w:rsid w:val="00213BD1"/>
    <w:rsid w:val="00213F8A"/>
    <w:rsid w:val="002141F8"/>
    <w:rsid w:val="002143B5"/>
    <w:rsid w:val="00214583"/>
    <w:rsid w:val="00214698"/>
    <w:rsid w:val="002149BB"/>
    <w:rsid w:val="00214A8D"/>
    <w:rsid w:val="00215588"/>
    <w:rsid w:val="00215BCA"/>
    <w:rsid w:val="00215BE9"/>
    <w:rsid w:val="00215D5D"/>
    <w:rsid w:val="00215EDA"/>
    <w:rsid w:val="00216251"/>
    <w:rsid w:val="00216BE9"/>
    <w:rsid w:val="00216F81"/>
    <w:rsid w:val="002173C4"/>
    <w:rsid w:val="00217AF2"/>
    <w:rsid w:val="00220072"/>
    <w:rsid w:val="0022021A"/>
    <w:rsid w:val="0022030D"/>
    <w:rsid w:val="002206A0"/>
    <w:rsid w:val="0022071E"/>
    <w:rsid w:val="0022082D"/>
    <w:rsid w:val="00220E7C"/>
    <w:rsid w:val="00221302"/>
    <w:rsid w:val="00221633"/>
    <w:rsid w:val="00221731"/>
    <w:rsid w:val="00221983"/>
    <w:rsid w:val="00221F53"/>
    <w:rsid w:val="00221FCC"/>
    <w:rsid w:val="0022204F"/>
    <w:rsid w:val="0022262E"/>
    <w:rsid w:val="0022286C"/>
    <w:rsid w:val="00222AE6"/>
    <w:rsid w:val="00222C22"/>
    <w:rsid w:val="00223235"/>
    <w:rsid w:val="00223541"/>
    <w:rsid w:val="002237B3"/>
    <w:rsid w:val="00224417"/>
    <w:rsid w:val="00224F16"/>
    <w:rsid w:val="002252EE"/>
    <w:rsid w:val="00225724"/>
    <w:rsid w:val="00225D9E"/>
    <w:rsid w:val="00225E01"/>
    <w:rsid w:val="00225FAE"/>
    <w:rsid w:val="002262C7"/>
    <w:rsid w:val="00227027"/>
    <w:rsid w:val="00227660"/>
    <w:rsid w:val="002277AD"/>
    <w:rsid w:val="002277B1"/>
    <w:rsid w:val="00227DFC"/>
    <w:rsid w:val="00227F24"/>
    <w:rsid w:val="00227FCB"/>
    <w:rsid w:val="00230069"/>
    <w:rsid w:val="00230119"/>
    <w:rsid w:val="0023011A"/>
    <w:rsid w:val="00230298"/>
    <w:rsid w:val="00230730"/>
    <w:rsid w:val="002311F4"/>
    <w:rsid w:val="00231839"/>
    <w:rsid w:val="00231911"/>
    <w:rsid w:val="0023238D"/>
    <w:rsid w:val="00232400"/>
    <w:rsid w:val="00232836"/>
    <w:rsid w:val="00232BA2"/>
    <w:rsid w:val="00232CC7"/>
    <w:rsid w:val="002334B3"/>
    <w:rsid w:val="0023393D"/>
    <w:rsid w:val="0023394D"/>
    <w:rsid w:val="002339A9"/>
    <w:rsid w:val="00233D1B"/>
    <w:rsid w:val="00233E4A"/>
    <w:rsid w:val="00233EAD"/>
    <w:rsid w:val="0023405D"/>
    <w:rsid w:val="002342B2"/>
    <w:rsid w:val="00234B0F"/>
    <w:rsid w:val="00234D73"/>
    <w:rsid w:val="0023500A"/>
    <w:rsid w:val="00235196"/>
    <w:rsid w:val="0023562B"/>
    <w:rsid w:val="002358BA"/>
    <w:rsid w:val="00235AE3"/>
    <w:rsid w:val="00235B7E"/>
    <w:rsid w:val="00235BB5"/>
    <w:rsid w:val="00235D29"/>
    <w:rsid w:val="00235DB4"/>
    <w:rsid w:val="0023616C"/>
    <w:rsid w:val="002364D9"/>
    <w:rsid w:val="00236C7F"/>
    <w:rsid w:val="00237089"/>
    <w:rsid w:val="0023715B"/>
    <w:rsid w:val="0023754A"/>
    <w:rsid w:val="0023755F"/>
    <w:rsid w:val="0023761F"/>
    <w:rsid w:val="002376E5"/>
    <w:rsid w:val="00237814"/>
    <w:rsid w:val="00237C6D"/>
    <w:rsid w:val="0024049C"/>
    <w:rsid w:val="002405FE"/>
    <w:rsid w:val="002406E4"/>
    <w:rsid w:val="00240D15"/>
    <w:rsid w:val="00240D1F"/>
    <w:rsid w:val="00240FAE"/>
    <w:rsid w:val="00241222"/>
    <w:rsid w:val="002414AC"/>
    <w:rsid w:val="002414B0"/>
    <w:rsid w:val="002417D9"/>
    <w:rsid w:val="0024195A"/>
    <w:rsid w:val="00241B6B"/>
    <w:rsid w:val="00241D06"/>
    <w:rsid w:val="00241E2C"/>
    <w:rsid w:val="00242253"/>
    <w:rsid w:val="00242479"/>
    <w:rsid w:val="0024284E"/>
    <w:rsid w:val="002429F2"/>
    <w:rsid w:val="00242ABA"/>
    <w:rsid w:val="00242E7C"/>
    <w:rsid w:val="0024304B"/>
    <w:rsid w:val="00243254"/>
    <w:rsid w:val="0024331B"/>
    <w:rsid w:val="00243D81"/>
    <w:rsid w:val="00244290"/>
    <w:rsid w:val="00244671"/>
    <w:rsid w:val="00244ACA"/>
    <w:rsid w:val="00244C36"/>
    <w:rsid w:val="00244DC2"/>
    <w:rsid w:val="00244EFC"/>
    <w:rsid w:val="00244F0D"/>
    <w:rsid w:val="00244F1B"/>
    <w:rsid w:val="00244FD9"/>
    <w:rsid w:val="00245292"/>
    <w:rsid w:val="00245B32"/>
    <w:rsid w:val="00245CF0"/>
    <w:rsid w:val="00245D07"/>
    <w:rsid w:val="00245D70"/>
    <w:rsid w:val="002465E1"/>
    <w:rsid w:val="00246988"/>
    <w:rsid w:val="00246A26"/>
    <w:rsid w:val="00246EBF"/>
    <w:rsid w:val="00247287"/>
    <w:rsid w:val="002472A2"/>
    <w:rsid w:val="002473C8"/>
    <w:rsid w:val="002474AF"/>
    <w:rsid w:val="002477F6"/>
    <w:rsid w:val="00247C2C"/>
    <w:rsid w:val="00247E02"/>
    <w:rsid w:val="00247E69"/>
    <w:rsid w:val="00247ED9"/>
    <w:rsid w:val="00247EEF"/>
    <w:rsid w:val="00250011"/>
    <w:rsid w:val="00250279"/>
    <w:rsid w:val="00250516"/>
    <w:rsid w:val="00250823"/>
    <w:rsid w:val="0025087C"/>
    <w:rsid w:val="00250905"/>
    <w:rsid w:val="00250BD7"/>
    <w:rsid w:val="00251080"/>
    <w:rsid w:val="0025111D"/>
    <w:rsid w:val="00251122"/>
    <w:rsid w:val="00251298"/>
    <w:rsid w:val="00251453"/>
    <w:rsid w:val="002514E6"/>
    <w:rsid w:val="002515C7"/>
    <w:rsid w:val="00251849"/>
    <w:rsid w:val="00252278"/>
    <w:rsid w:val="002522FB"/>
    <w:rsid w:val="0025293C"/>
    <w:rsid w:val="00253109"/>
    <w:rsid w:val="002536D6"/>
    <w:rsid w:val="0025385D"/>
    <w:rsid w:val="002538B1"/>
    <w:rsid w:val="00254415"/>
    <w:rsid w:val="00254D7A"/>
    <w:rsid w:val="00254DBE"/>
    <w:rsid w:val="00255DF4"/>
    <w:rsid w:val="00255E26"/>
    <w:rsid w:val="002560AD"/>
    <w:rsid w:val="00256197"/>
    <w:rsid w:val="002563FE"/>
    <w:rsid w:val="00256AFE"/>
    <w:rsid w:val="00256ECC"/>
    <w:rsid w:val="00257287"/>
    <w:rsid w:val="00257A7E"/>
    <w:rsid w:val="00257C4F"/>
    <w:rsid w:val="00257D35"/>
    <w:rsid w:val="00260078"/>
    <w:rsid w:val="002603D6"/>
    <w:rsid w:val="00260651"/>
    <w:rsid w:val="00260D1A"/>
    <w:rsid w:val="0026148B"/>
    <w:rsid w:val="00261A71"/>
    <w:rsid w:val="00261E34"/>
    <w:rsid w:val="00261E94"/>
    <w:rsid w:val="00261EE5"/>
    <w:rsid w:val="002622EF"/>
    <w:rsid w:val="002626D9"/>
    <w:rsid w:val="002627EF"/>
    <w:rsid w:val="00262925"/>
    <w:rsid w:val="0026299A"/>
    <w:rsid w:val="00262C78"/>
    <w:rsid w:val="00262E93"/>
    <w:rsid w:val="00263568"/>
    <w:rsid w:val="00263951"/>
    <w:rsid w:val="00264240"/>
    <w:rsid w:val="00264371"/>
    <w:rsid w:val="00264463"/>
    <w:rsid w:val="0026468A"/>
    <w:rsid w:val="002647EF"/>
    <w:rsid w:val="002648CF"/>
    <w:rsid w:val="00264E54"/>
    <w:rsid w:val="00265184"/>
    <w:rsid w:val="002651FC"/>
    <w:rsid w:val="00265252"/>
    <w:rsid w:val="0026587D"/>
    <w:rsid w:val="00265ABE"/>
    <w:rsid w:val="00265CCE"/>
    <w:rsid w:val="00265E91"/>
    <w:rsid w:val="00265EEF"/>
    <w:rsid w:val="0026603C"/>
    <w:rsid w:val="0026608F"/>
    <w:rsid w:val="00266156"/>
    <w:rsid w:val="00266238"/>
    <w:rsid w:val="002667C6"/>
    <w:rsid w:val="00266851"/>
    <w:rsid w:val="00266AEC"/>
    <w:rsid w:val="00266B1C"/>
    <w:rsid w:val="0026706C"/>
    <w:rsid w:val="00267074"/>
    <w:rsid w:val="00267297"/>
    <w:rsid w:val="00267307"/>
    <w:rsid w:val="002677AD"/>
    <w:rsid w:val="002678AD"/>
    <w:rsid w:val="002679DC"/>
    <w:rsid w:val="00267DC5"/>
    <w:rsid w:val="00267F03"/>
    <w:rsid w:val="00270036"/>
    <w:rsid w:val="0027020C"/>
    <w:rsid w:val="00270492"/>
    <w:rsid w:val="002705F4"/>
    <w:rsid w:val="00270B46"/>
    <w:rsid w:val="00270E43"/>
    <w:rsid w:val="00270F5F"/>
    <w:rsid w:val="002711EE"/>
    <w:rsid w:val="002713EE"/>
    <w:rsid w:val="0027144E"/>
    <w:rsid w:val="00271640"/>
    <w:rsid w:val="002716C0"/>
    <w:rsid w:val="00271A99"/>
    <w:rsid w:val="00271BB8"/>
    <w:rsid w:val="00272060"/>
    <w:rsid w:val="002728F4"/>
    <w:rsid w:val="002729B5"/>
    <w:rsid w:val="00272D67"/>
    <w:rsid w:val="00272E20"/>
    <w:rsid w:val="002731E2"/>
    <w:rsid w:val="0027321B"/>
    <w:rsid w:val="0027331A"/>
    <w:rsid w:val="0027348F"/>
    <w:rsid w:val="00273967"/>
    <w:rsid w:val="00273C09"/>
    <w:rsid w:val="00273D0A"/>
    <w:rsid w:val="00273FF7"/>
    <w:rsid w:val="002740D6"/>
    <w:rsid w:val="002743B5"/>
    <w:rsid w:val="002744F5"/>
    <w:rsid w:val="002748D3"/>
    <w:rsid w:val="00274D67"/>
    <w:rsid w:val="00274DA8"/>
    <w:rsid w:val="00275039"/>
    <w:rsid w:val="00275129"/>
    <w:rsid w:val="0027530D"/>
    <w:rsid w:val="0027553E"/>
    <w:rsid w:val="00275780"/>
    <w:rsid w:val="0027596D"/>
    <w:rsid w:val="00275A1C"/>
    <w:rsid w:val="00275C33"/>
    <w:rsid w:val="00275D3A"/>
    <w:rsid w:val="00275F22"/>
    <w:rsid w:val="00275FDA"/>
    <w:rsid w:val="00276218"/>
    <w:rsid w:val="00276531"/>
    <w:rsid w:val="0027699C"/>
    <w:rsid w:val="0027742C"/>
    <w:rsid w:val="0027763E"/>
    <w:rsid w:val="0027768F"/>
    <w:rsid w:val="0028002B"/>
    <w:rsid w:val="00280049"/>
    <w:rsid w:val="0028075E"/>
    <w:rsid w:val="00280E2B"/>
    <w:rsid w:val="00280F9E"/>
    <w:rsid w:val="002813E0"/>
    <w:rsid w:val="00281480"/>
    <w:rsid w:val="002816C1"/>
    <w:rsid w:val="002817A0"/>
    <w:rsid w:val="0028194C"/>
    <w:rsid w:val="00282011"/>
    <w:rsid w:val="0028235B"/>
    <w:rsid w:val="00282EDA"/>
    <w:rsid w:val="00282FDF"/>
    <w:rsid w:val="0028300C"/>
    <w:rsid w:val="0028309D"/>
    <w:rsid w:val="002833D8"/>
    <w:rsid w:val="00284115"/>
    <w:rsid w:val="002842CE"/>
    <w:rsid w:val="00284738"/>
    <w:rsid w:val="00284A28"/>
    <w:rsid w:val="00284F8F"/>
    <w:rsid w:val="0028505A"/>
    <w:rsid w:val="002854A8"/>
    <w:rsid w:val="00285806"/>
    <w:rsid w:val="00285D10"/>
    <w:rsid w:val="00285DAC"/>
    <w:rsid w:val="00286466"/>
    <w:rsid w:val="00286D06"/>
    <w:rsid w:val="00287604"/>
    <w:rsid w:val="00287994"/>
    <w:rsid w:val="00287F64"/>
    <w:rsid w:val="00290201"/>
    <w:rsid w:val="00290454"/>
    <w:rsid w:val="00290B65"/>
    <w:rsid w:val="00290B7E"/>
    <w:rsid w:val="00290E39"/>
    <w:rsid w:val="00290FEB"/>
    <w:rsid w:val="0029102D"/>
    <w:rsid w:val="0029128F"/>
    <w:rsid w:val="002914E1"/>
    <w:rsid w:val="00291669"/>
    <w:rsid w:val="00291ACA"/>
    <w:rsid w:val="002924C1"/>
    <w:rsid w:val="00292859"/>
    <w:rsid w:val="002928D4"/>
    <w:rsid w:val="002928F3"/>
    <w:rsid w:val="00292A11"/>
    <w:rsid w:val="00292D92"/>
    <w:rsid w:val="00292EAF"/>
    <w:rsid w:val="00292EB6"/>
    <w:rsid w:val="00292EF0"/>
    <w:rsid w:val="002932D7"/>
    <w:rsid w:val="002933D6"/>
    <w:rsid w:val="0029362E"/>
    <w:rsid w:val="00293985"/>
    <w:rsid w:val="00293A58"/>
    <w:rsid w:val="00293DF2"/>
    <w:rsid w:val="00293F4C"/>
    <w:rsid w:val="0029407E"/>
    <w:rsid w:val="00294177"/>
    <w:rsid w:val="00294181"/>
    <w:rsid w:val="00294232"/>
    <w:rsid w:val="002947E9"/>
    <w:rsid w:val="00294BAC"/>
    <w:rsid w:val="00294CAF"/>
    <w:rsid w:val="00294FD3"/>
    <w:rsid w:val="00295380"/>
    <w:rsid w:val="00295FFD"/>
    <w:rsid w:val="002962B1"/>
    <w:rsid w:val="00296B9B"/>
    <w:rsid w:val="00296E40"/>
    <w:rsid w:val="00297055"/>
    <w:rsid w:val="00297403"/>
    <w:rsid w:val="002979B8"/>
    <w:rsid w:val="00297DF8"/>
    <w:rsid w:val="002A0298"/>
    <w:rsid w:val="002A0647"/>
    <w:rsid w:val="002A06CE"/>
    <w:rsid w:val="002A09D9"/>
    <w:rsid w:val="002A0B00"/>
    <w:rsid w:val="002A0C80"/>
    <w:rsid w:val="002A13D0"/>
    <w:rsid w:val="002A1522"/>
    <w:rsid w:val="002A1792"/>
    <w:rsid w:val="002A19C6"/>
    <w:rsid w:val="002A1C15"/>
    <w:rsid w:val="002A1FF6"/>
    <w:rsid w:val="002A2117"/>
    <w:rsid w:val="002A23B7"/>
    <w:rsid w:val="002A2A46"/>
    <w:rsid w:val="002A2A95"/>
    <w:rsid w:val="002A2E6B"/>
    <w:rsid w:val="002A3343"/>
    <w:rsid w:val="002A349B"/>
    <w:rsid w:val="002A3591"/>
    <w:rsid w:val="002A3627"/>
    <w:rsid w:val="002A398F"/>
    <w:rsid w:val="002A3A1C"/>
    <w:rsid w:val="002A3DD6"/>
    <w:rsid w:val="002A5084"/>
    <w:rsid w:val="002A5772"/>
    <w:rsid w:val="002A5CB8"/>
    <w:rsid w:val="002A5D51"/>
    <w:rsid w:val="002A5D9B"/>
    <w:rsid w:val="002A5DEA"/>
    <w:rsid w:val="002A5EC7"/>
    <w:rsid w:val="002A62AB"/>
    <w:rsid w:val="002A64B0"/>
    <w:rsid w:val="002A6835"/>
    <w:rsid w:val="002A6D1C"/>
    <w:rsid w:val="002A71BB"/>
    <w:rsid w:val="002A71BC"/>
    <w:rsid w:val="002A73E1"/>
    <w:rsid w:val="002A7431"/>
    <w:rsid w:val="002A760B"/>
    <w:rsid w:val="002A775A"/>
    <w:rsid w:val="002A7E05"/>
    <w:rsid w:val="002B0040"/>
    <w:rsid w:val="002B0409"/>
    <w:rsid w:val="002B0540"/>
    <w:rsid w:val="002B0651"/>
    <w:rsid w:val="002B0AF9"/>
    <w:rsid w:val="002B0BE5"/>
    <w:rsid w:val="002B0FCC"/>
    <w:rsid w:val="002B128B"/>
    <w:rsid w:val="002B16E0"/>
    <w:rsid w:val="002B18EB"/>
    <w:rsid w:val="002B1AA8"/>
    <w:rsid w:val="002B1C70"/>
    <w:rsid w:val="002B1C7F"/>
    <w:rsid w:val="002B1E46"/>
    <w:rsid w:val="002B241F"/>
    <w:rsid w:val="002B2B46"/>
    <w:rsid w:val="002B2F66"/>
    <w:rsid w:val="002B302D"/>
    <w:rsid w:val="002B315B"/>
    <w:rsid w:val="002B323C"/>
    <w:rsid w:val="002B32B9"/>
    <w:rsid w:val="002B334C"/>
    <w:rsid w:val="002B37A1"/>
    <w:rsid w:val="002B37FC"/>
    <w:rsid w:val="002B3C9F"/>
    <w:rsid w:val="002B400B"/>
    <w:rsid w:val="002B48F6"/>
    <w:rsid w:val="002B4A92"/>
    <w:rsid w:val="002B5024"/>
    <w:rsid w:val="002B51A7"/>
    <w:rsid w:val="002B5536"/>
    <w:rsid w:val="002B57CD"/>
    <w:rsid w:val="002B57CF"/>
    <w:rsid w:val="002B5AF5"/>
    <w:rsid w:val="002B5D93"/>
    <w:rsid w:val="002B5FAF"/>
    <w:rsid w:val="002B60E3"/>
    <w:rsid w:val="002B60F8"/>
    <w:rsid w:val="002B6113"/>
    <w:rsid w:val="002B615C"/>
    <w:rsid w:val="002B640E"/>
    <w:rsid w:val="002B66B4"/>
    <w:rsid w:val="002B6AEC"/>
    <w:rsid w:val="002B6BB9"/>
    <w:rsid w:val="002B6CAD"/>
    <w:rsid w:val="002B70A2"/>
    <w:rsid w:val="002C04A4"/>
    <w:rsid w:val="002C07C8"/>
    <w:rsid w:val="002C07E0"/>
    <w:rsid w:val="002C08DD"/>
    <w:rsid w:val="002C09DB"/>
    <w:rsid w:val="002C122A"/>
    <w:rsid w:val="002C1AC0"/>
    <w:rsid w:val="002C1CF2"/>
    <w:rsid w:val="002C1D57"/>
    <w:rsid w:val="002C1E18"/>
    <w:rsid w:val="002C1EF3"/>
    <w:rsid w:val="002C2640"/>
    <w:rsid w:val="002C279C"/>
    <w:rsid w:val="002C288F"/>
    <w:rsid w:val="002C2C4F"/>
    <w:rsid w:val="002C3529"/>
    <w:rsid w:val="002C352E"/>
    <w:rsid w:val="002C364F"/>
    <w:rsid w:val="002C3A54"/>
    <w:rsid w:val="002C3D22"/>
    <w:rsid w:val="002C4183"/>
    <w:rsid w:val="002C4355"/>
    <w:rsid w:val="002C43C7"/>
    <w:rsid w:val="002C4575"/>
    <w:rsid w:val="002C4781"/>
    <w:rsid w:val="002C49B0"/>
    <w:rsid w:val="002C4EE2"/>
    <w:rsid w:val="002C514D"/>
    <w:rsid w:val="002C54DA"/>
    <w:rsid w:val="002C56F9"/>
    <w:rsid w:val="002C579C"/>
    <w:rsid w:val="002C5A7C"/>
    <w:rsid w:val="002C5CE9"/>
    <w:rsid w:val="002C5DBA"/>
    <w:rsid w:val="002C657B"/>
    <w:rsid w:val="002C6666"/>
    <w:rsid w:val="002C6754"/>
    <w:rsid w:val="002C677A"/>
    <w:rsid w:val="002C68C2"/>
    <w:rsid w:val="002C694E"/>
    <w:rsid w:val="002C71C2"/>
    <w:rsid w:val="002C72F4"/>
    <w:rsid w:val="002C7532"/>
    <w:rsid w:val="002C7CBC"/>
    <w:rsid w:val="002D006F"/>
    <w:rsid w:val="002D01E7"/>
    <w:rsid w:val="002D0633"/>
    <w:rsid w:val="002D089F"/>
    <w:rsid w:val="002D0D02"/>
    <w:rsid w:val="002D14C2"/>
    <w:rsid w:val="002D15DF"/>
    <w:rsid w:val="002D1CAC"/>
    <w:rsid w:val="002D1D35"/>
    <w:rsid w:val="002D1DB5"/>
    <w:rsid w:val="002D20D1"/>
    <w:rsid w:val="002D24F1"/>
    <w:rsid w:val="002D257D"/>
    <w:rsid w:val="002D2843"/>
    <w:rsid w:val="002D28C5"/>
    <w:rsid w:val="002D2A1C"/>
    <w:rsid w:val="002D30BA"/>
    <w:rsid w:val="002D3577"/>
    <w:rsid w:val="002D3761"/>
    <w:rsid w:val="002D3908"/>
    <w:rsid w:val="002D3AC0"/>
    <w:rsid w:val="002D3B1A"/>
    <w:rsid w:val="002D3F3E"/>
    <w:rsid w:val="002D4101"/>
    <w:rsid w:val="002D4490"/>
    <w:rsid w:val="002D49ED"/>
    <w:rsid w:val="002D4BE2"/>
    <w:rsid w:val="002D4C5F"/>
    <w:rsid w:val="002D4C8C"/>
    <w:rsid w:val="002D4F45"/>
    <w:rsid w:val="002D5043"/>
    <w:rsid w:val="002D5112"/>
    <w:rsid w:val="002D528D"/>
    <w:rsid w:val="002D5323"/>
    <w:rsid w:val="002D54D7"/>
    <w:rsid w:val="002D5562"/>
    <w:rsid w:val="002D568A"/>
    <w:rsid w:val="002D5733"/>
    <w:rsid w:val="002D5927"/>
    <w:rsid w:val="002D59B4"/>
    <w:rsid w:val="002D5A9A"/>
    <w:rsid w:val="002D5C4F"/>
    <w:rsid w:val="002D5EEA"/>
    <w:rsid w:val="002D609C"/>
    <w:rsid w:val="002D6310"/>
    <w:rsid w:val="002D658F"/>
    <w:rsid w:val="002D6AE8"/>
    <w:rsid w:val="002D7028"/>
    <w:rsid w:val="002D708C"/>
    <w:rsid w:val="002D76BF"/>
    <w:rsid w:val="002D7931"/>
    <w:rsid w:val="002D7A72"/>
    <w:rsid w:val="002D7E9F"/>
    <w:rsid w:val="002D7ED8"/>
    <w:rsid w:val="002E0021"/>
    <w:rsid w:val="002E014A"/>
    <w:rsid w:val="002E016D"/>
    <w:rsid w:val="002E02E9"/>
    <w:rsid w:val="002E077F"/>
    <w:rsid w:val="002E0BEC"/>
    <w:rsid w:val="002E0EE1"/>
    <w:rsid w:val="002E0FAC"/>
    <w:rsid w:val="002E1177"/>
    <w:rsid w:val="002E129E"/>
    <w:rsid w:val="002E1AF9"/>
    <w:rsid w:val="002E1DE6"/>
    <w:rsid w:val="002E1EE3"/>
    <w:rsid w:val="002E317A"/>
    <w:rsid w:val="002E343D"/>
    <w:rsid w:val="002E377D"/>
    <w:rsid w:val="002E3954"/>
    <w:rsid w:val="002E3C1A"/>
    <w:rsid w:val="002E40E6"/>
    <w:rsid w:val="002E4300"/>
    <w:rsid w:val="002E46D8"/>
    <w:rsid w:val="002E4785"/>
    <w:rsid w:val="002E4F05"/>
    <w:rsid w:val="002E4FBC"/>
    <w:rsid w:val="002E4FF0"/>
    <w:rsid w:val="002E54F7"/>
    <w:rsid w:val="002E551A"/>
    <w:rsid w:val="002E58B6"/>
    <w:rsid w:val="002E5FD0"/>
    <w:rsid w:val="002E606C"/>
    <w:rsid w:val="002E60AC"/>
    <w:rsid w:val="002E6A07"/>
    <w:rsid w:val="002E6A50"/>
    <w:rsid w:val="002E6B53"/>
    <w:rsid w:val="002E6DA2"/>
    <w:rsid w:val="002E6FDE"/>
    <w:rsid w:val="002E75A5"/>
    <w:rsid w:val="002E7613"/>
    <w:rsid w:val="002E7B5D"/>
    <w:rsid w:val="002E7C2D"/>
    <w:rsid w:val="002E7F95"/>
    <w:rsid w:val="002F006B"/>
    <w:rsid w:val="002F0209"/>
    <w:rsid w:val="002F0340"/>
    <w:rsid w:val="002F07B5"/>
    <w:rsid w:val="002F0822"/>
    <w:rsid w:val="002F0A28"/>
    <w:rsid w:val="002F0F14"/>
    <w:rsid w:val="002F0F4C"/>
    <w:rsid w:val="002F0FC3"/>
    <w:rsid w:val="002F109C"/>
    <w:rsid w:val="002F1245"/>
    <w:rsid w:val="002F1395"/>
    <w:rsid w:val="002F149C"/>
    <w:rsid w:val="002F1582"/>
    <w:rsid w:val="002F15AA"/>
    <w:rsid w:val="002F15CA"/>
    <w:rsid w:val="002F19B2"/>
    <w:rsid w:val="002F1AAF"/>
    <w:rsid w:val="002F1B35"/>
    <w:rsid w:val="002F1C90"/>
    <w:rsid w:val="002F200B"/>
    <w:rsid w:val="002F2110"/>
    <w:rsid w:val="002F25CB"/>
    <w:rsid w:val="002F2932"/>
    <w:rsid w:val="002F29A2"/>
    <w:rsid w:val="002F29C9"/>
    <w:rsid w:val="002F2AFD"/>
    <w:rsid w:val="002F2D7A"/>
    <w:rsid w:val="002F2E2B"/>
    <w:rsid w:val="002F2F9A"/>
    <w:rsid w:val="002F3747"/>
    <w:rsid w:val="002F3ED2"/>
    <w:rsid w:val="002F4220"/>
    <w:rsid w:val="002F42BD"/>
    <w:rsid w:val="002F4459"/>
    <w:rsid w:val="002F490C"/>
    <w:rsid w:val="002F4C40"/>
    <w:rsid w:val="002F4D05"/>
    <w:rsid w:val="002F5435"/>
    <w:rsid w:val="002F5546"/>
    <w:rsid w:val="002F5967"/>
    <w:rsid w:val="002F59DA"/>
    <w:rsid w:val="002F5A7C"/>
    <w:rsid w:val="002F5B9B"/>
    <w:rsid w:val="002F5DA7"/>
    <w:rsid w:val="002F6214"/>
    <w:rsid w:val="002F62BA"/>
    <w:rsid w:val="002F64AD"/>
    <w:rsid w:val="002F6920"/>
    <w:rsid w:val="002F6A10"/>
    <w:rsid w:val="002F6E53"/>
    <w:rsid w:val="002F731E"/>
    <w:rsid w:val="002F73F4"/>
    <w:rsid w:val="002F7553"/>
    <w:rsid w:val="002F7594"/>
    <w:rsid w:val="002F76EE"/>
    <w:rsid w:val="002F770B"/>
    <w:rsid w:val="002F78E3"/>
    <w:rsid w:val="002F79BC"/>
    <w:rsid w:val="002F79F0"/>
    <w:rsid w:val="002F7B29"/>
    <w:rsid w:val="002F7B3F"/>
    <w:rsid w:val="003002D1"/>
    <w:rsid w:val="00300402"/>
    <w:rsid w:val="00300741"/>
    <w:rsid w:val="00300982"/>
    <w:rsid w:val="00300CF2"/>
    <w:rsid w:val="00300D51"/>
    <w:rsid w:val="003010F9"/>
    <w:rsid w:val="00301114"/>
    <w:rsid w:val="00301725"/>
    <w:rsid w:val="00301750"/>
    <w:rsid w:val="0030188F"/>
    <w:rsid w:val="00301CA3"/>
    <w:rsid w:val="0030296C"/>
    <w:rsid w:val="00302C03"/>
    <w:rsid w:val="00302CC9"/>
    <w:rsid w:val="00302DC6"/>
    <w:rsid w:val="00302E3A"/>
    <w:rsid w:val="003036D1"/>
    <w:rsid w:val="00303A86"/>
    <w:rsid w:val="00303B42"/>
    <w:rsid w:val="003043B7"/>
    <w:rsid w:val="0030447F"/>
    <w:rsid w:val="0030477C"/>
    <w:rsid w:val="00304B3B"/>
    <w:rsid w:val="00304CA0"/>
    <w:rsid w:val="00304D7E"/>
    <w:rsid w:val="00305341"/>
    <w:rsid w:val="00305446"/>
    <w:rsid w:val="003056CC"/>
    <w:rsid w:val="0030586B"/>
    <w:rsid w:val="00305AA7"/>
    <w:rsid w:val="00305EAD"/>
    <w:rsid w:val="00306193"/>
    <w:rsid w:val="00306434"/>
    <w:rsid w:val="00306481"/>
    <w:rsid w:val="003065B1"/>
    <w:rsid w:val="003066F8"/>
    <w:rsid w:val="00306B66"/>
    <w:rsid w:val="00306BE5"/>
    <w:rsid w:val="00307177"/>
    <w:rsid w:val="00307639"/>
    <w:rsid w:val="00307857"/>
    <w:rsid w:val="00307909"/>
    <w:rsid w:val="0031020B"/>
    <w:rsid w:val="00310302"/>
    <w:rsid w:val="00310725"/>
    <w:rsid w:val="00310D86"/>
    <w:rsid w:val="00310E66"/>
    <w:rsid w:val="003113BB"/>
    <w:rsid w:val="0031151C"/>
    <w:rsid w:val="003115B0"/>
    <w:rsid w:val="003115F5"/>
    <w:rsid w:val="0031164B"/>
    <w:rsid w:val="003119ED"/>
    <w:rsid w:val="00311ED0"/>
    <w:rsid w:val="003122EB"/>
    <w:rsid w:val="00312330"/>
    <w:rsid w:val="00312BC9"/>
    <w:rsid w:val="00312DD0"/>
    <w:rsid w:val="0031308B"/>
    <w:rsid w:val="00313457"/>
    <w:rsid w:val="00313F99"/>
    <w:rsid w:val="00314067"/>
    <w:rsid w:val="003145A9"/>
    <w:rsid w:val="0031491B"/>
    <w:rsid w:val="00314EDF"/>
    <w:rsid w:val="00315037"/>
    <w:rsid w:val="00315224"/>
    <w:rsid w:val="003152FA"/>
    <w:rsid w:val="00315666"/>
    <w:rsid w:val="00315667"/>
    <w:rsid w:val="003156AB"/>
    <w:rsid w:val="0031583D"/>
    <w:rsid w:val="003158A5"/>
    <w:rsid w:val="003159E4"/>
    <w:rsid w:val="00315CB8"/>
    <w:rsid w:val="00315E28"/>
    <w:rsid w:val="0031670F"/>
    <w:rsid w:val="00316CE5"/>
    <w:rsid w:val="00316F65"/>
    <w:rsid w:val="00317007"/>
    <w:rsid w:val="003173FA"/>
    <w:rsid w:val="00317AED"/>
    <w:rsid w:val="00317CA5"/>
    <w:rsid w:val="00317CDC"/>
    <w:rsid w:val="00320474"/>
    <w:rsid w:val="003206B7"/>
    <w:rsid w:val="003207D7"/>
    <w:rsid w:val="00320A51"/>
    <w:rsid w:val="00320C1B"/>
    <w:rsid w:val="00320D7B"/>
    <w:rsid w:val="00320EBA"/>
    <w:rsid w:val="0032105C"/>
    <w:rsid w:val="00321A4F"/>
    <w:rsid w:val="00321B91"/>
    <w:rsid w:val="00321E23"/>
    <w:rsid w:val="0032297B"/>
    <w:rsid w:val="00322A1A"/>
    <w:rsid w:val="00322BDA"/>
    <w:rsid w:val="00322F3F"/>
    <w:rsid w:val="00323534"/>
    <w:rsid w:val="00323874"/>
    <w:rsid w:val="0032394D"/>
    <w:rsid w:val="00323E3E"/>
    <w:rsid w:val="00323FCB"/>
    <w:rsid w:val="00324160"/>
    <w:rsid w:val="00324470"/>
    <w:rsid w:val="00324576"/>
    <w:rsid w:val="003249DA"/>
    <w:rsid w:val="003251C9"/>
    <w:rsid w:val="00325585"/>
    <w:rsid w:val="00325656"/>
    <w:rsid w:val="003258B3"/>
    <w:rsid w:val="003259FF"/>
    <w:rsid w:val="00325CBE"/>
    <w:rsid w:val="00325D5F"/>
    <w:rsid w:val="00325E52"/>
    <w:rsid w:val="0032611E"/>
    <w:rsid w:val="00326791"/>
    <w:rsid w:val="00326844"/>
    <w:rsid w:val="00326E28"/>
    <w:rsid w:val="00326F14"/>
    <w:rsid w:val="00326F7A"/>
    <w:rsid w:val="00327108"/>
    <w:rsid w:val="0032732A"/>
    <w:rsid w:val="00327936"/>
    <w:rsid w:val="00327FDD"/>
    <w:rsid w:val="003301E1"/>
    <w:rsid w:val="003302B0"/>
    <w:rsid w:val="003303AF"/>
    <w:rsid w:val="003305B4"/>
    <w:rsid w:val="00330747"/>
    <w:rsid w:val="00330821"/>
    <w:rsid w:val="00330D2C"/>
    <w:rsid w:val="003310C7"/>
    <w:rsid w:val="0033152F"/>
    <w:rsid w:val="00331823"/>
    <w:rsid w:val="0033237A"/>
    <w:rsid w:val="0033272A"/>
    <w:rsid w:val="0033276B"/>
    <w:rsid w:val="00332A4F"/>
    <w:rsid w:val="00333101"/>
    <w:rsid w:val="0033323D"/>
    <w:rsid w:val="003333AF"/>
    <w:rsid w:val="0033352C"/>
    <w:rsid w:val="003339FB"/>
    <w:rsid w:val="00333F96"/>
    <w:rsid w:val="00334030"/>
    <w:rsid w:val="003343B7"/>
    <w:rsid w:val="00334700"/>
    <w:rsid w:val="00334D6C"/>
    <w:rsid w:val="00334D89"/>
    <w:rsid w:val="00334EDD"/>
    <w:rsid w:val="00334F93"/>
    <w:rsid w:val="0033545D"/>
    <w:rsid w:val="0033577A"/>
    <w:rsid w:val="00335977"/>
    <w:rsid w:val="00335A01"/>
    <w:rsid w:val="00335AA0"/>
    <w:rsid w:val="00336CB4"/>
    <w:rsid w:val="00337189"/>
    <w:rsid w:val="003372CF"/>
    <w:rsid w:val="00337400"/>
    <w:rsid w:val="00337745"/>
    <w:rsid w:val="00337895"/>
    <w:rsid w:val="00337EA4"/>
    <w:rsid w:val="00337F00"/>
    <w:rsid w:val="00340082"/>
    <w:rsid w:val="003414FD"/>
    <w:rsid w:val="00341A29"/>
    <w:rsid w:val="00342030"/>
    <w:rsid w:val="0034227B"/>
    <w:rsid w:val="00342374"/>
    <w:rsid w:val="003426DE"/>
    <w:rsid w:val="00342CFA"/>
    <w:rsid w:val="00342F15"/>
    <w:rsid w:val="003431D2"/>
    <w:rsid w:val="00343A4F"/>
    <w:rsid w:val="00343E3A"/>
    <w:rsid w:val="00343F6E"/>
    <w:rsid w:val="0034425B"/>
    <w:rsid w:val="0034429A"/>
    <w:rsid w:val="003445F8"/>
    <w:rsid w:val="00344848"/>
    <w:rsid w:val="00344918"/>
    <w:rsid w:val="00344CAB"/>
    <w:rsid w:val="0034530B"/>
    <w:rsid w:val="003455DE"/>
    <w:rsid w:val="00345786"/>
    <w:rsid w:val="00345E46"/>
    <w:rsid w:val="003460B6"/>
    <w:rsid w:val="003460B7"/>
    <w:rsid w:val="0034614D"/>
    <w:rsid w:val="0034616D"/>
    <w:rsid w:val="00346BCE"/>
    <w:rsid w:val="00347052"/>
    <w:rsid w:val="003476AF"/>
    <w:rsid w:val="0034772C"/>
    <w:rsid w:val="00347F1A"/>
    <w:rsid w:val="003502BF"/>
    <w:rsid w:val="003505A2"/>
    <w:rsid w:val="00350D82"/>
    <w:rsid w:val="0035131C"/>
    <w:rsid w:val="003516F1"/>
    <w:rsid w:val="003517A9"/>
    <w:rsid w:val="00351E56"/>
    <w:rsid w:val="00351EA4"/>
    <w:rsid w:val="003521A5"/>
    <w:rsid w:val="003529BD"/>
    <w:rsid w:val="00352CAD"/>
    <w:rsid w:val="003534DC"/>
    <w:rsid w:val="003534DF"/>
    <w:rsid w:val="00353B0A"/>
    <w:rsid w:val="00353CA1"/>
    <w:rsid w:val="00353D89"/>
    <w:rsid w:val="00354176"/>
    <w:rsid w:val="00354283"/>
    <w:rsid w:val="0035448A"/>
    <w:rsid w:val="00354572"/>
    <w:rsid w:val="00354A3F"/>
    <w:rsid w:val="00354AB4"/>
    <w:rsid w:val="00354C63"/>
    <w:rsid w:val="00354D95"/>
    <w:rsid w:val="00354EB9"/>
    <w:rsid w:val="00354EC1"/>
    <w:rsid w:val="003553DE"/>
    <w:rsid w:val="00355F0E"/>
    <w:rsid w:val="00356229"/>
    <w:rsid w:val="00356298"/>
    <w:rsid w:val="0035662D"/>
    <w:rsid w:val="003566B9"/>
    <w:rsid w:val="0035686F"/>
    <w:rsid w:val="00356875"/>
    <w:rsid w:val="003569FE"/>
    <w:rsid w:val="00356BD4"/>
    <w:rsid w:val="00356EE7"/>
    <w:rsid w:val="00356EEA"/>
    <w:rsid w:val="00357250"/>
    <w:rsid w:val="00357E57"/>
    <w:rsid w:val="00357ED3"/>
    <w:rsid w:val="003602AD"/>
    <w:rsid w:val="003602BF"/>
    <w:rsid w:val="00360323"/>
    <w:rsid w:val="00360357"/>
    <w:rsid w:val="003608F5"/>
    <w:rsid w:val="00360F59"/>
    <w:rsid w:val="00360FEF"/>
    <w:rsid w:val="00361BF8"/>
    <w:rsid w:val="00361C16"/>
    <w:rsid w:val="00361DEB"/>
    <w:rsid w:val="00361E80"/>
    <w:rsid w:val="00361FBF"/>
    <w:rsid w:val="00362023"/>
    <w:rsid w:val="003620B2"/>
    <w:rsid w:val="0036241D"/>
    <w:rsid w:val="0036272C"/>
    <w:rsid w:val="00362763"/>
    <w:rsid w:val="003627ED"/>
    <w:rsid w:val="00362B78"/>
    <w:rsid w:val="00362CAA"/>
    <w:rsid w:val="003631CE"/>
    <w:rsid w:val="003633AA"/>
    <w:rsid w:val="003636D4"/>
    <w:rsid w:val="003638E6"/>
    <w:rsid w:val="00363D1F"/>
    <w:rsid w:val="00364AD6"/>
    <w:rsid w:val="00364E96"/>
    <w:rsid w:val="0036529C"/>
    <w:rsid w:val="0036577D"/>
    <w:rsid w:val="00365AC1"/>
    <w:rsid w:val="00365EE1"/>
    <w:rsid w:val="00367460"/>
    <w:rsid w:val="0036749C"/>
    <w:rsid w:val="00367622"/>
    <w:rsid w:val="0036797D"/>
    <w:rsid w:val="003679A7"/>
    <w:rsid w:val="00367EF9"/>
    <w:rsid w:val="00370259"/>
    <w:rsid w:val="00370279"/>
    <w:rsid w:val="0037029E"/>
    <w:rsid w:val="003705BF"/>
    <w:rsid w:val="003706E8"/>
    <w:rsid w:val="0037070E"/>
    <w:rsid w:val="003707DF"/>
    <w:rsid w:val="003712E8"/>
    <w:rsid w:val="003714E6"/>
    <w:rsid w:val="003716A0"/>
    <w:rsid w:val="003717D5"/>
    <w:rsid w:val="00371987"/>
    <w:rsid w:val="00371EC2"/>
    <w:rsid w:val="0037247B"/>
    <w:rsid w:val="00372A1B"/>
    <w:rsid w:val="00372F64"/>
    <w:rsid w:val="00372F9C"/>
    <w:rsid w:val="0037319B"/>
    <w:rsid w:val="003734A3"/>
    <w:rsid w:val="00373773"/>
    <w:rsid w:val="00373897"/>
    <w:rsid w:val="00373DCD"/>
    <w:rsid w:val="00373EE7"/>
    <w:rsid w:val="00374500"/>
    <w:rsid w:val="0037452C"/>
    <w:rsid w:val="003745A2"/>
    <w:rsid w:val="0037471E"/>
    <w:rsid w:val="003749D5"/>
    <w:rsid w:val="00374C05"/>
    <w:rsid w:val="00374ED3"/>
    <w:rsid w:val="0037537C"/>
    <w:rsid w:val="00375626"/>
    <w:rsid w:val="00375908"/>
    <w:rsid w:val="00375B9A"/>
    <w:rsid w:val="00375DD5"/>
    <w:rsid w:val="0037607E"/>
    <w:rsid w:val="0037608E"/>
    <w:rsid w:val="003763A2"/>
    <w:rsid w:val="0037676E"/>
    <w:rsid w:val="00377092"/>
    <w:rsid w:val="00377111"/>
    <w:rsid w:val="003772A8"/>
    <w:rsid w:val="0037732F"/>
    <w:rsid w:val="00377447"/>
    <w:rsid w:val="00377849"/>
    <w:rsid w:val="0038022B"/>
    <w:rsid w:val="00380608"/>
    <w:rsid w:val="003806ED"/>
    <w:rsid w:val="00380932"/>
    <w:rsid w:val="00380A25"/>
    <w:rsid w:val="00380A91"/>
    <w:rsid w:val="00380D44"/>
    <w:rsid w:val="00380FA9"/>
    <w:rsid w:val="00380FE7"/>
    <w:rsid w:val="00381254"/>
    <w:rsid w:val="003812B2"/>
    <w:rsid w:val="00381851"/>
    <w:rsid w:val="00381E37"/>
    <w:rsid w:val="00381E90"/>
    <w:rsid w:val="00381EB2"/>
    <w:rsid w:val="00381FBC"/>
    <w:rsid w:val="003820F4"/>
    <w:rsid w:val="003822A3"/>
    <w:rsid w:val="003826A6"/>
    <w:rsid w:val="0038279C"/>
    <w:rsid w:val="00382990"/>
    <w:rsid w:val="00382D14"/>
    <w:rsid w:val="003833C3"/>
    <w:rsid w:val="00383405"/>
    <w:rsid w:val="00383808"/>
    <w:rsid w:val="00383946"/>
    <w:rsid w:val="00383A4D"/>
    <w:rsid w:val="00383A8A"/>
    <w:rsid w:val="00383D67"/>
    <w:rsid w:val="00383F3D"/>
    <w:rsid w:val="0038425A"/>
    <w:rsid w:val="00384660"/>
    <w:rsid w:val="00384689"/>
    <w:rsid w:val="00384722"/>
    <w:rsid w:val="003849CE"/>
    <w:rsid w:val="00384B68"/>
    <w:rsid w:val="00384B75"/>
    <w:rsid w:val="00384C28"/>
    <w:rsid w:val="003851AD"/>
    <w:rsid w:val="003851FB"/>
    <w:rsid w:val="003854AF"/>
    <w:rsid w:val="00385B8E"/>
    <w:rsid w:val="00386108"/>
    <w:rsid w:val="003863B7"/>
    <w:rsid w:val="00386580"/>
    <w:rsid w:val="00386954"/>
    <w:rsid w:val="003869D8"/>
    <w:rsid w:val="00386D32"/>
    <w:rsid w:val="00386E04"/>
    <w:rsid w:val="00387367"/>
    <w:rsid w:val="003873E7"/>
    <w:rsid w:val="0038745A"/>
    <w:rsid w:val="003875F1"/>
    <w:rsid w:val="00387678"/>
    <w:rsid w:val="003876B2"/>
    <w:rsid w:val="0038773A"/>
    <w:rsid w:val="00387B6F"/>
    <w:rsid w:val="0039054B"/>
    <w:rsid w:val="0039084C"/>
    <w:rsid w:val="0039086B"/>
    <w:rsid w:val="00390892"/>
    <w:rsid w:val="00390BA4"/>
    <w:rsid w:val="00390C4A"/>
    <w:rsid w:val="00390C9F"/>
    <w:rsid w:val="00390D21"/>
    <w:rsid w:val="003913DD"/>
    <w:rsid w:val="00391442"/>
    <w:rsid w:val="003915D7"/>
    <w:rsid w:val="003916AA"/>
    <w:rsid w:val="003918C5"/>
    <w:rsid w:val="00391C49"/>
    <w:rsid w:val="00391C9D"/>
    <w:rsid w:val="00391DB8"/>
    <w:rsid w:val="003921BF"/>
    <w:rsid w:val="003922D3"/>
    <w:rsid w:val="00392358"/>
    <w:rsid w:val="003923BB"/>
    <w:rsid w:val="00392501"/>
    <w:rsid w:val="0039308A"/>
    <w:rsid w:val="003934B6"/>
    <w:rsid w:val="003935EE"/>
    <w:rsid w:val="003936DE"/>
    <w:rsid w:val="00393AAA"/>
    <w:rsid w:val="00393BC3"/>
    <w:rsid w:val="00393F06"/>
    <w:rsid w:val="0039457F"/>
    <w:rsid w:val="00394E08"/>
    <w:rsid w:val="00395142"/>
    <w:rsid w:val="00395301"/>
    <w:rsid w:val="00395773"/>
    <w:rsid w:val="00395970"/>
    <w:rsid w:val="00395D47"/>
    <w:rsid w:val="00395EB7"/>
    <w:rsid w:val="00395F71"/>
    <w:rsid w:val="00396308"/>
    <w:rsid w:val="00397268"/>
    <w:rsid w:val="003972B0"/>
    <w:rsid w:val="003973D0"/>
    <w:rsid w:val="003976ED"/>
    <w:rsid w:val="00397786"/>
    <w:rsid w:val="00397C1A"/>
    <w:rsid w:val="00397E0B"/>
    <w:rsid w:val="003A0582"/>
    <w:rsid w:val="003A0F3D"/>
    <w:rsid w:val="003A12A2"/>
    <w:rsid w:val="003A15B1"/>
    <w:rsid w:val="003A18DF"/>
    <w:rsid w:val="003A1DE0"/>
    <w:rsid w:val="003A201E"/>
    <w:rsid w:val="003A22E9"/>
    <w:rsid w:val="003A246B"/>
    <w:rsid w:val="003A2F29"/>
    <w:rsid w:val="003A30BE"/>
    <w:rsid w:val="003A33A2"/>
    <w:rsid w:val="003A33C9"/>
    <w:rsid w:val="003A36D9"/>
    <w:rsid w:val="003A375F"/>
    <w:rsid w:val="003A3C66"/>
    <w:rsid w:val="003A3FD7"/>
    <w:rsid w:val="003A4231"/>
    <w:rsid w:val="003A4242"/>
    <w:rsid w:val="003A42F6"/>
    <w:rsid w:val="003A477A"/>
    <w:rsid w:val="003A47F0"/>
    <w:rsid w:val="003A4872"/>
    <w:rsid w:val="003A4C0C"/>
    <w:rsid w:val="003A4D52"/>
    <w:rsid w:val="003A520C"/>
    <w:rsid w:val="003A521E"/>
    <w:rsid w:val="003A55E3"/>
    <w:rsid w:val="003A5719"/>
    <w:rsid w:val="003A574F"/>
    <w:rsid w:val="003A5765"/>
    <w:rsid w:val="003A5E8C"/>
    <w:rsid w:val="003A61F2"/>
    <w:rsid w:val="003A63D0"/>
    <w:rsid w:val="003A659D"/>
    <w:rsid w:val="003A6CB6"/>
    <w:rsid w:val="003A7009"/>
    <w:rsid w:val="003A71CA"/>
    <w:rsid w:val="003A7239"/>
    <w:rsid w:val="003A73D0"/>
    <w:rsid w:val="003B0078"/>
    <w:rsid w:val="003B0384"/>
    <w:rsid w:val="003B1C29"/>
    <w:rsid w:val="003B1C34"/>
    <w:rsid w:val="003B1E5E"/>
    <w:rsid w:val="003B2107"/>
    <w:rsid w:val="003B2470"/>
    <w:rsid w:val="003B26B0"/>
    <w:rsid w:val="003B2835"/>
    <w:rsid w:val="003B2D57"/>
    <w:rsid w:val="003B2E3A"/>
    <w:rsid w:val="003B2FC7"/>
    <w:rsid w:val="003B343B"/>
    <w:rsid w:val="003B3640"/>
    <w:rsid w:val="003B37B6"/>
    <w:rsid w:val="003B3BAA"/>
    <w:rsid w:val="003B3E0E"/>
    <w:rsid w:val="003B4189"/>
    <w:rsid w:val="003B4226"/>
    <w:rsid w:val="003B42A3"/>
    <w:rsid w:val="003B42E2"/>
    <w:rsid w:val="003B4317"/>
    <w:rsid w:val="003B4568"/>
    <w:rsid w:val="003B4660"/>
    <w:rsid w:val="003B4E4D"/>
    <w:rsid w:val="003B4E62"/>
    <w:rsid w:val="003B52A0"/>
    <w:rsid w:val="003B57ED"/>
    <w:rsid w:val="003B5CF1"/>
    <w:rsid w:val="003B625B"/>
    <w:rsid w:val="003B681E"/>
    <w:rsid w:val="003B6843"/>
    <w:rsid w:val="003B6B22"/>
    <w:rsid w:val="003B6F33"/>
    <w:rsid w:val="003B7528"/>
    <w:rsid w:val="003B775E"/>
    <w:rsid w:val="003B7D72"/>
    <w:rsid w:val="003B7DF6"/>
    <w:rsid w:val="003C0082"/>
    <w:rsid w:val="003C012E"/>
    <w:rsid w:val="003C027C"/>
    <w:rsid w:val="003C02EB"/>
    <w:rsid w:val="003C04C9"/>
    <w:rsid w:val="003C0BF3"/>
    <w:rsid w:val="003C0D58"/>
    <w:rsid w:val="003C0DEC"/>
    <w:rsid w:val="003C1238"/>
    <w:rsid w:val="003C13FE"/>
    <w:rsid w:val="003C1778"/>
    <w:rsid w:val="003C192B"/>
    <w:rsid w:val="003C1B41"/>
    <w:rsid w:val="003C1C2B"/>
    <w:rsid w:val="003C1F99"/>
    <w:rsid w:val="003C2171"/>
    <w:rsid w:val="003C21B7"/>
    <w:rsid w:val="003C279F"/>
    <w:rsid w:val="003C2B53"/>
    <w:rsid w:val="003C2EA3"/>
    <w:rsid w:val="003C31AB"/>
    <w:rsid w:val="003C3216"/>
    <w:rsid w:val="003C34FD"/>
    <w:rsid w:val="003C3566"/>
    <w:rsid w:val="003C39D3"/>
    <w:rsid w:val="003C3C6A"/>
    <w:rsid w:val="003C3E93"/>
    <w:rsid w:val="003C3F10"/>
    <w:rsid w:val="003C43C8"/>
    <w:rsid w:val="003C4469"/>
    <w:rsid w:val="003C44B5"/>
    <w:rsid w:val="003C452A"/>
    <w:rsid w:val="003C45C5"/>
    <w:rsid w:val="003C4690"/>
    <w:rsid w:val="003C477A"/>
    <w:rsid w:val="003C4AE2"/>
    <w:rsid w:val="003C4BCB"/>
    <w:rsid w:val="003C4DF6"/>
    <w:rsid w:val="003C51EA"/>
    <w:rsid w:val="003C51F5"/>
    <w:rsid w:val="003C56C2"/>
    <w:rsid w:val="003C56E1"/>
    <w:rsid w:val="003C5AC1"/>
    <w:rsid w:val="003C5CD9"/>
    <w:rsid w:val="003C60DC"/>
    <w:rsid w:val="003C62D1"/>
    <w:rsid w:val="003C6387"/>
    <w:rsid w:val="003C6A47"/>
    <w:rsid w:val="003C6BDA"/>
    <w:rsid w:val="003C70BE"/>
    <w:rsid w:val="003C7136"/>
    <w:rsid w:val="003C7A8A"/>
    <w:rsid w:val="003C7C0A"/>
    <w:rsid w:val="003C7F88"/>
    <w:rsid w:val="003D0802"/>
    <w:rsid w:val="003D0AD7"/>
    <w:rsid w:val="003D0B27"/>
    <w:rsid w:val="003D0E5A"/>
    <w:rsid w:val="003D16C9"/>
    <w:rsid w:val="003D189A"/>
    <w:rsid w:val="003D1B89"/>
    <w:rsid w:val="003D1D41"/>
    <w:rsid w:val="003D216A"/>
    <w:rsid w:val="003D32C7"/>
    <w:rsid w:val="003D3608"/>
    <w:rsid w:val="003D3751"/>
    <w:rsid w:val="003D3BA5"/>
    <w:rsid w:val="003D3C03"/>
    <w:rsid w:val="003D3C2D"/>
    <w:rsid w:val="003D3C43"/>
    <w:rsid w:val="003D3E2B"/>
    <w:rsid w:val="003D41BC"/>
    <w:rsid w:val="003D4273"/>
    <w:rsid w:val="003D434F"/>
    <w:rsid w:val="003D468D"/>
    <w:rsid w:val="003D48EF"/>
    <w:rsid w:val="003D4CFD"/>
    <w:rsid w:val="003D4F40"/>
    <w:rsid w:val="003D4F63"/>
    <w:rsid w:val="003D5333"/>
    <w:rsid w:val="003D594C"/>
    <w:rsid w:val="003D59DA"/>
    <w:rsid w:val="003D5CF9"/>
    <w:rsid w:val="003D5DAE"/>
    <w:rsid w:val="003D5FDB"/>
    <w:rsid w:val="003D60D5"/>
    <w:rsid w:val="003D610B"/>
    <w:rsid w:val="003D6140"/>
    <w:rsid w:val="003D6885"/>
    <w:rsid w:val="003D6D87"/>
    <w:rsid w:val="003D7957"/>
    <w:rsid w:val="003D7C26"/>
    <w:rsid w:val="003D7DD6"/>
    <w:rsid w:val="003D7FC8"/>
    <w:rsid w:val="003D7FDE"/>
    <w:rsid w:val="003E0006"/>
    <w:rsid w:val="003E0342"/>
    <w:rsid w:val="003E0BE9"/>
    <w:rsid w:val="003E0C25"/>
    <w:rsid w:val="003E0E12"/>
    <w:rsid w:val="003E100A"/>
    <w:rsid w:val="003E1466"/>
    <w:rsid w:val="003E1515"/>
    <w:rsid w:val="003E175C"/>
    <w:rsid w:val="003E19A6"/>
    <w:rsid w:val="003E1AE8"/>
    <w:rsid w:val="003E1B8C"/>
    <w:rsid w:val="003E1E6B"/>
    <w:rsid w:val="003E1E6F"/>
    <w:rsid w:val="003E2303"/>
    <w:rsid w:val="003E2312"/>
    <w:rsid w:val="003E2A4F"/>
    <w:rsid w:val="003E2D0C"/>
    <w:rsid w:val="003E2EDF"/>
    <w:rsid w:val="003E33BA"/>
    <w:rsid w:val="003E3495"/>
    <w:rsid w:val="003E34D0"/>
    <w:rsid w:val="003E379D"/>
    <w:rsid w:val="003E3CEA"/>
    <w:rsid w:val="003E41CB"/>
    <w:rsid w:val="003E4475"/>
    <w:rsid w:val="003E449E"/>
    <w:rsid w:val="003E4875"/>
    <w:rsid w:val="003E4BF6"/>
    <w:rsid w:val="003E4E61"/>
    <w:rsid w:val="003E502F"/>
    <w:rsid w:val="003E51EA"/>
    <w:rsid w:val="003E572C"/>
    <w:rsid w:val="003E57D6"/>
    <w:rsid w:val="003E5ADF"/>
    <w:rsid w:val="003E5D77"/>
    <w:rsid w:val="003E6109"/>
    <w:rsid w:val="003E6223"/>
    <w:rsid w:val="003E62A9"/>
    <w:rsid w:val="003E6892"/>
    <w:rsid w:val="003E69ED"/>
    <w:rsid w:val="003E6A38"/>
    <w:rsid w:val="003E6A89"/>
    <w:rsid w:val="003E6B47"/>
    <w:rsid w:val="003E6B6F"/>
    <w:rsid w:val="003E6C43"/>
    <w:rsid w:val="003E6EC3"/>
    <w:rsid w:val="003E70A0"/>
    <w:rsid w:val="003E79CA"/>
    <w:rsid w:val="003E7A06"/>
    <w:rsid w:val="003E7D66"/>
    <w:rsid w:val="003F022E"/>
    <w:rsid w:val="003F0549"/>
    <w:rsid w:val="003F07A6"/>
    <w:rsid w:val="003F07AB"/>
    <w:rsid w:val="003F0908"/>
    <w:rsid w:val="003F0A52"/>
    <w:rsid w:val="003F0B73"/>
    <w:rsid w:val="003F0B89"/>
    <w:rsid w:val="003F0C02"/>
    <w:rsid w:val="003F1613"/>
    <w:rsid w:val="003F16CE"/>
    <w:rsid w:val="003F18B1"/>
    <w:rsid w:val="003F19C0"/>
    <w:rsid w:val="003F19CB"/>
    <w:rsid w:val="003F1D5A"/>
    <w:rsid w:val="003F1DDA"/>
    <w:rsid w:val="003F1F88"/>
    <w:rsid w:val="003F29D0"/>
    <w:rsid w:val="003F2B3C"/>
    <w:rsid w:val="003F3441"/>
    <w:rsid w:val="003F3541"/>
    <w:rsid w:val="003F360F"/>
    <w:rsid w:val="003F37BF"/>
    <w:rsid w:val="003F3C58"/>
    <w:rsid w:val="003F3DCC"/>
    <w:rsid w:val="003F3DFE"/>
    <w:rsid w:val="003F3FD4"/>
    <w:rsid w:val="003F43CE"/>
    <w:rsid w:val="003F43E0"/>
    <w:rsid w:val="003F45B3"/>
    <w:rsid w:val="003F4788"/>
    <w:rsid w:val="003F4849"/>
    <w:rsid w:val="003F4BDF"/>
    <w:rsid w:val="003F522A"/>
    <w:rsid w:val="003F5417"/>
    <w:rsid w:val="003F5497"/>
    <w:rsid w:val="003F577B"/>
    <w:rsid w:val="003F5D03"/>
    <w:rsid w:val="003F5E73"/>
    <w:rsid w:val="003F61BC"/>
    <w:rsid w:val="003F6276"/>
    <w:rsid w:val="003F65A5"/>
    <w:rsid w:val="003F66E9"/>
    <w:rsid w:val="003F6A78"/>
    <w:rsid w:val="003F6B98"/>
    <w:rsid w:val="003F6BDE"/>
    <w:rsid w:val="003F6EF1"/>
    <w:rsid w:val="003F6EFF"/>
    <w:rsid w:val="003F7109"/>
    <w:rsid w:val="003F71AD"/>
    <w:rsid w:val="003F7626"/>
    <w:rsid w:val="003F7B03"/>
    <w:rsid w:val="003F7C3B"/>
    <w:rsid w:val="004003A3"/>
    <w:rsid w:val="00400465"/>
    <w:rsid w:val="0040059A"/>
    <w:rsid w:val="004005A8"/>
    <w:rsid w:val="00400966"/>
    <w:rsid w:val="00400C56"/>
    <w:rsid w:val="00401413"/>
    <w:rsid w:val="00401448"/>
    <w:rsid w:val="0040147D"/>
    <w:rsid w:val="00401A66"/>
    <w:rsid w:val="00401D12"/>
    <w:rsid w:val="00401DE0"/>
    <w:rsid w:val="004022BC"/>
    <w:rsid w:val="004024D5"/>
    <w:rsid w:val="00402926"/>
    <w:rsid w:val="00402ADE"/>
    <w:rsid w:val="00402EAD"/>
    <w:rsid w:val="00403B21"/>
    <w:rsid w:val="00403C2F"/>
    <w:rsid w:val="004048AF"/>
    <w:rsid w:val="00404943"/>
    <w:rsid w:val="00404D5B"/>
    <w:rsid w:val="00404E8A"/>
    <w:rsid w:val="00404F3B"/>
    <w:rsid w:val="00405069"/>
    <w:rsid w:val="004051AA"/>
    <w:rsid w:val="00405414"/>
    <w:rsid w:val="004059B3"/>
    <w:rsid w:val="004064B9"/>
    <w:rsid w:val="004064DF"/>
    <w:rsid w:val="00406A73"/>
    <w:rsid w:val="00406B8A"/>
    <w:rsid w:val="00406CC4"/>
    <w:rsid w:val="0040706C"/>
    <w:rsid w:val="00407088"/>
    <w:rsid w:val="00407DB4"/>
    <w:rsid w:val="004109E5"/>
    <w:rsid w:val="00410C16"/>
    <w:rsid w:val="00410D38"/>
    <w:rsid w:val="0041106E"/>
    <w:rsid w:val="00411108"/>
    <w:rsid w:val="00411136"/>
    <w:rsid w:val="00411358"/>
    <w:rsid w:val="0041157E"/>
    <w:rsid w:val="0041175C"/>
    <w:rsid w:val="00411814"/>
    <w:rsid w:val="00411A1D"/>
    <w:rsid w:val="00411B60"/>
    <w:rsid w:val="00411F12"/>
    <w:rsid w:val="004122F4"/>
    <w:rsid w:val="00412637"/>
    <w:rsid w:val="004134C9"/>
    <w:rsid w:val="00413ADB"/>
    <w:rsid w:val="00413FD9"/>
    <w:rsid w:val="0041415B"/>
    <w:rsid w:val="0041457B"/>
    <w:rsid w:val="00414766"/>
    <w:rsid w:val="00414DC3"/>
    <w:rsid w:val="00414E67"/>
    <w:rsid w:val="00414E9D"/>
    <w:rsid w:val="00414F48"/>
    <w:rsid w:val="00414FFB"/>
    <w:rsid w:val="00415812"/>
    <w:rsid w:val="00415813"/>
    <w:rsid w:val="00415833"/>
    <w:rsid w:val="004158EA"/>
    <w:rsid w:val="00415F8C"/>
    <w:rsid w:val="00416069"/>
    <w:rsid w:val="004163CE"/>
    <w:rsid w:val="00416856"/>
    <w:rsid w:val="00416B4D"/>
    <w:rsid w:val="00416B96"/>
    <w:rsid w:val="00416D41"/>
    <w:rsid w:val="0041702B"/>
    <w:rsid w:val="00417215"/>
    <w:rsid w:val="00417337"/>
    <w:rsid w:val="00417AC8"/>
    <w:rsid w:val="00417B7F"/>
    <w:rsid w:val="00417D21"/>
    <w:rsid w:val="00417F90"/>
    <w:rsid w:val="004201A1"/>
    <w:rsid w:val="004201A7"/>
    <w:rsid w:val="0042021E"/>
    <w:rsid w:val="004204C0"/>
    <w:rsid w:val="00420667"/>
    <w:rsid w:val="004206B6"/>
    <w:rsid w:val="00420CE7"/>
    <w:rsid w:val="00421096"/>
    <w:rsid w:val="004212DD"/>
    <w:rsid w:val="004219BA"/>
    <w:rsid w:val="00421A95"/>
    <w:rsid w:val="00421CCF"/>
    <w:rsid w:val="0042255B"/>
    <w:rsid w:val="00422AFF"/>
    <w:rsid w:val="00422BBE"/>
    <w:rsid w:val="004230AC"/>
    <w:rsid w:val="004231F1"/>
    <w:rsid w:val="00423481"/>
    <w:rsid w:val="004236E8"/>
    <w:rsid w:val="00423BC4"/>
    <w:rsid w:val="00423CD3"/>
    <w:rsid w:val="00423D9D"/>
    <w:rsid w:val="00423E36"/>
    <w:rsid w:val="00424114"/>
    <w:rsid w:val="00424153"/>
    <w:rsid w:val="00424273"/>
    <w:rsid w:val="00424397"/>
    <w:rsid w:val="00424546"/>
    <w:rsid w:val="00424590"/>
    <w:rsid w:val="004245F1"/>
    <w:rsid w:val="0042478C"/>
    <w:rsid w:val="00424F35"/>
    <w:rsid w:val="00424F5E"/>
    <w:rsid w:val="0042517F"/>
    <w:rsid w:val="00425BEA"/>
    <w:rsid w:val="00425DB6"/>
    <w:rsid w:val="00425E39"/>
    <w:rsid w:val="00426211"/>
    <w:rsid w:val="00426D73"/>
    <w:rsid w:val="0042758E"/>
    <w:rsid w:val="004278F4"/>
    <w:rsid w:val="004279D0"/>
    <w:rsid w:val="00427EDD"/>
    <w:rsid w:val="00427FE3"/>
    <w:rsid w:val="00430182"/>
    <w:rsid w:val="00430AC0"/>
    <w:rsid w:val="00431DC7"/>
    <w:rsid w:val="0043258B"/>
    <w:rsid w:val="00432801"/>
    <w:rsid w:val="004329DD"/>
    <w:rsid w:val="004336B9"/>
    <w:rsid w:val="0043395F"/>
    <w:rsid w:val="00433996"/>
    <w:rsid w:val="00433A5E"/>
    <w:rsid w:val="004341C7"/>
    <w:rsid w:val="00434310"/>
    <w:rsid w:val="00434537"/>
    <w:rsid w:val="00434C1F"/>
    <w:rsid w:val="00434FFB"/>
    <w:rsid w:val="004353C3"/>
    <w:rsid w:val="004356B6"/>
    <w:rsid w:val="004356EA"/>
    <w:rsid w:val="0043586E"/>
    <w:rsid w:val="00435A15"/>
    <w:rsid w:val="00435B4A"/>
    <w:rsid w:val="00435CEC"/>
    <w:rsid w:val="00435E4E"/>
    <w:rsid w:val="00436083"/>
    <w:rsid w:val="00436158"/>
    <w:rsid w:val="0043662F"/>
    <w:rsid w:val="00436781"/>
    <w:rsid w:val="00436AE1"/>
    <w:rsid w:val="00436BB7"/>
    <w:rsid w:val="00436D50"/>
    <w:rsid w:val="00436E89"/>
    <w:rsid w:val="00436FBB"/>
    <w:rsid w:val="0043711B"/>
    <w:rsid w:val="00437166"/>
    <w:rsid w:val="00437332"/>
    <w:rsid w:val="004376B5"/>
    <w:rsid w:val="004376C1"/>
    <w:rsid w:val="0043787B"/>
    <w:rsid w:val="00437B9C"/>
    <w:rsid w:val="00437E97"/>
    <w:rsid w:val="00437F8E"/>
    <w:rsid w:val="004400A7"/>
    <w:rsid w:val="004400B5"/>
    <w:rsid w:val="00440339"/>
    <w:rsid w:val="004403FE"/>
    <w:rsid w:val="00440691"/>
    <w:rsid w:val="0044071C"/>
    <w:rsid w:val="00440A9C"/>
    <w:rsid w:val="00440D4E"/>
    <w:rsid w:val="00440DAA"/>
    <w:rsid w:val="0044127C"/>
    <w:rsid w:val="00441949"/>
    <w:rsid w:val="004419DA"/>
    <w:rsid w:val="00441AF2"/>
    <w:rsid w:val="00441EC4"/>
    <w:rsid w:val="00442167"/>
    <w:rsid w:val="004421DF"/>
    <w:rsid w:val="00442390"/>
    <w:rsid w:val="004426DE"/>
    <w:rsid w:val="00442891"/>
    <w:rsid w:val="00442A51"/>
    <w:rsid w:val="00442C31"/>
    <w:rsid w:val="00442D06"/>
    <w:rsid w:val="00442E40"/>
    <w:rsid w:val="00443469"/>
    <w:rsid w:val="00443A2D"/>
    <w:rsid w:val="00443A8E"/>
    <w:rsid w:val="00443AE2"/>
    <w:rsid w:val="00443FC4"/>
    <w:rsid w:val="004442B3"/>
    <w:rsid w:val="00444473"/>
    <w:rsid w:val="004444B2"/>
    <w:rsid w:val="004444E4"/>
    <w:rsid w:val="00444BF3"/>
    <w:rsid w:val="00444CCA"/>
    <w:rsid w:val="00444F5D"/>
    <w:rsid w:val="00444FBD"/>
    <w:rsid w:val="00445218"/>
    <w:rsid w:val="0044555F"/>
    <w:rsid w:val="00446029"/>
    <w:rsid w:val="004461E6"/>
    <w:rsid w:val="004462FF"/>
    <w:rsid w:val="004464B6"/>
    <w:rsid w:val="0044665E"/>
    <w:rsid w:val="004472D4"/>
    <w:rsid w:val="00447914"/>
    <w:rsid w:val="00447A57"/>
    <w:rsid w:val="00447B9D"/>
    <w:rsid w:val="004502E2"/>
    <w:rsid w:val="004503DF"/>
    <w:rsid w:val="004505E1"/>
    <w:rsid w:val="004509CA"/>
    <w:rsid w:val="00450D98"/>
    <w:rsid w:val="00451027"/>
    <w:rsid w:val="004511DA"/>
    <w:rsid w:val="004512E8"/>
    <w:rsid w:val="004515D0"/>
    <w:rsid w:val="00451601"/>
    <w:rsid w:val="00451765"/>
    <w:rsid w:val="0045187C"/>
    <w:rsid w:val="00451B42"/>
    <w:rsid w:val="00451B53"/>
    <w:rsid w:val="00452010"/>
    <w:rsid w:val="00452366"/>
    <w:rsid w:val="004528AC"/>
    <w:rsid w:val="004528DB"/>
    <w:rsid w:val="004529F3"/>
    <w:rsid w:val="00452C3F"/>
    <w:rsid w:val="00452E04"/>
    <w:rsid w:val="00452ED1"/>
    <w:rsid w:val="00452F4B"/>
    <w:rsid w:val="00453052"/>
    <w:rsid w:val="004531D5"/>
    <w:rsid w:val="0045368D"/>
    <w:rsid w:val="00453840"/>
    <w:rsid w:val="00453999"/>
    <w:rsid w:val="004539C2"/>
    <w:rsid w:val="00453A88"/>
    <w:rsid w:val="00453ACC"/>
    <w:rsid w:val="00453CB9"/>
    <w:rsid w:val="00453ECA"/>
    <w:rsid w:val="0045404A"/>
    <w:rsid w:val="00454086"/>
    <w:rsid w:val="004548B5"/>
    <w:rsid w:val="00454C4B"/>
    <w:rsid w:val="00454C6B"/>
    <w:rsid w:val="00455050"/>
    <w:rsid w:val="004550AD"/>
    <w:rsid w:val="0045533B"/>
    <w:rsid w:val="00455584"/>
    <w:rsid w:val="0045563E"/>
    <w:rsid w:val="00455B92"/>
    <w:rsid w:val="00455BD2"/>
    <w:rsid w:val="00456328"/>
    <w:rsid w:val="00456339"/>
    <w:rsid w:val="00456A97"/>
    <w:rsid w:val="00456B39"/>
    <w:rsid w:val="00456B6C"/>
    <w:rsid w:val="00456CAF"/>
    <w:rsid w:val="004571FD"/>
    <w:rsid w:val="0045743A"/>
    <w:rsid w:val="004574A5"/>
    <w:rsid w:val="004576A8"/>
    <w:rsid w:val="004579C4"/>
    <w:rsid w:val="00457BBA"/>
    <w:rsid w:val="00460265"/>
    <w:rsid w:val="0046048B"/>
    <w:rsid w:val="004604A6"/>
    <w:rsid w:val="00460847"/>
    <w:rsid w:val="00460F94"/>
    <w:rsid w:val="004612A5"/>
    <w:rsid w:val="004616A8"/>
    <w:rsid w:val="00461ABB"/>
    <w:rsid w:val="004625F9"/>
    <w:rsid w:val="004627C3"/>
    <w:rsid w:val="00462B89"/>
    <w:rsid w:val="00462FEB"/>
    <w:rsid w:val="00463559"/>
    <w:rsid w:val="004637C7"/>
    <w:rsid w:val="004639F4"/>
    <w:rsid w:val="00463BC6"/>
    <w:rsid w:val="00463DBF"/>
    <w:rsid w:val="0046434C"/>
    <w:rsid w:val="004644E3"/>
    <w:rsid w:val="0046485B"/>
    <w:rsid w:val="00464C92"/>
    <w:rsid w:val="00464CED"/>
    <w:rsid w:val="00464F94"/>
    <w:rsid w:val="0046532F"/>
    <w:rsid w:val="00465353"/>
    <w:rsid w:val="0046554B"/>
    <w:rsid w:val="004659FA"/>
    <w:rsid w:val="00465A25"/>
    <w:rsid w:val="00465DFB"/>
    <w:rsid w:val="0046627B"/>
    <w:rsid w:val="0046637F"/>
    <w:rsid w:val="004663B9"/>
    <w:rsid w:val="004666F3"/>
    <w:rsid w:val="00467128"/>
    <w:rsid w:val="004678F3"/>
    <w:rsid w:val="00467D41"/>
    <w:rsid w:val="00467F67"/>
    <w:rsid w:val="00470015"/>
    <w:rsid w:val="00470318"/>
    <w:rsid w:val="0047057C"/>
    <w:rsid w:val="0047089C"/>
    <w:rsid w:val="00470BFB"/>
    <w:rsid w:val="00470D64"/>
    <w:rsid w:val="00470F32"/>
    <w:rsid w:val="00471061"/>
    <w:rsid w:val="004710B1"/>
    <w:rsid w:val="00471308"/>
    <w:rsid w:val="0047178F"/>
    <w:rsid w:val="004717F6"/>
    <w:rsid w:val="0047183A"/>
    <w:rsid w:val="00471A45"/>
    <w:rsid w:val="00471E01"/>
    <w:rsid w:val="00471EA7"/>
    <w:rsid w:val="00471F52"/>
    <w:rsid w:val="004723EC"/>
    <w:rsid w:val="00472905"/>
    <w:rsid w:val="00473119"/>
    <w:rsid w:val="0047313D"/>
    <w:rsid w:val="004731E6"/>
    <w:rsid w:val="00473571"/>
    <w:rsid w:val="00473572"/>
    <w:rsid w:val="00473CB4"/>
    <w:rsid w:val="00473DD6"/>
    <w:rsid w:val="00473F88"/>
    <w:rsid w:val="00474278"/>
    <w:rsid w:val="00474470"/>
    <w:rsid w:val="004746E9"/>
    <w:rsid w:val="00474AB0"/>
    <w:rsid w:val="00474E72"/>
    <w:rsid w:val="004752F0"/>
    <w:rsid w:val="004753D0"/>
    <w:rsid w:val="00476095"/>
    <w:rsid w:val="004765E8"/>
    <w:rsid w:val="004767D7"/>
    <w:rsid w:val="00476A77"/>
    <w:rsid w:val="00476B28"/>
    <w:rsid w:val="00476EC6"/>
    <w:rsid w:val="00477182"/>
    <w:rsid w:val="00477885"/>
    <w:rsid w:val="00477B1E"/>
    <w:rsid w:val="00477EBA"/>
    <w:rsid w:val="00477EF2"/>
    <w:rsid w:val="00477FAC"/>
    <w:rsid w:val="00477FE8"/>
    <w:rsid w:val="0048087A"/>
    <w:rsid w:val="004809E1"/>
    <w:rsid w:val="0048151F"/>
    <w:rsid w:val="004817E6"/>
    <w:rsid w:val="00481B19"/>
    <w:rsid w:val="00481BFF"/>
    <w:rsid w:val="00481C47"/>
    <w:rsid w:val="0048233A"/>
    <w:rsid w:val="00482438"/>
    <w:rsid w:val="0048263E"/>
    <w:rsid w:val="00482A4C"/>
    <w:rsid w:val="00482AAB"/>
    <w:rsid w:val="00482D28"/>
    <w:rsid w:val="004830EA"/>
    <w:rsid w:val="00483524"/>
    <w:rsid w:val="00483705"/>
    <w:rsid w:val="004837A3"/>
    <w:rsid w:val="004837C2"/>
    <w:rsid w:val="004837D5"/>
    <w:rsid w:val="00483AAD"/>
    <w:rsid w:val="00484A5D"/>
    <w:rsid w:val="00484F01"/>
    <w:rsid w:val="00485259"/>
    <w:rsid w:val="004856A3"/>
    <w:rsid w:val="00485A21"/>
    <w:rsid w:val="00485A51"/>
    <w:rsid w:val="00485B08"/>
    <w:rsid w:val="00485E7D"/>
    <w:rsid w:val="004860C5"/>
    <w:rsid w:val="0048675E"/>
    <w:rsid w:val="004867DA"/>
    <w:rsid w:val="00486BD1"/>
    <w:rsid w:val="00486C0B"/>
    <w:rsid w:val="00487032"/>
    <w:rsid w:val="00487510"/>
    <w:rsid w:val="004879AC"/>
    <w:rsid w:val="00487BF0"/>
    <w:rsid w:val="00487D26"/>
    <w:rsid w:val="00487D4B"/>
    <w:rsid w:val="00487E26"/>
    <w:rsid w:val="00487F3D"/>
    <w:rsid w:val="00487F63"/>
    <w:rsid w:val="00487FB1"/>
    <w:rsid w:val="00490098"/>
    <w:rsid w:val="004903B4"/>
    <w:rsid w:val="00490483"/>
    <w:rsid w:val="00490533"/>
    <w:rsid w:val="0049057E"/>
    <w:rsid w:val="00490E70"/>
    <w:rsid w:val="00490F07"/>
    <w:rsid w:val="00491053"/>
    <w:rsid w:val="004910D8"/>
    <w:rsid w:val="0049165E"/>
    <w:rsid w:val="00491B23"/>
    <w:rsid w:val="00491E33"/>
    <w:rsid w:val="00491F14"/>
    <w:rsid w:val="00492012"/>
    <w:rsid w:val="004925F3"/>
    <w:rsid w:val="0049286D"/>
    <w:rsid w:val="00492BCC"/>
    <w:rsid w:val="004936CF"/>
    <w:rsid w:val="004937EA"/>
    <w:rsid w:val="00493C9F"/>
    <w:rsid w:val="00493D9F"/>
    <w:rsid w:val="004941EF"/>
    <w:rsid w:val="0049447C"/>
    <w:rsid w:val="004944ED"/>
    <w:rsid w:val="004945CE"/>
    <w:rsid w:val="00494D5A"/>
    <w:rsid w:val="00494F30"/>
    <w:rsid w:val="004955DC"/>
    <w:rsid w:val="004956BB"/>
    <w:rsid w:val="00495772"/>
    <w:rsid w:val="00495CA0"/>
    <w:rsid w:val="00495DB7"/>
    <w:rsid w:val="00496843"/>
    <w:rsid w:val="004969D7"/>
    <w:rsid w:val="00496E41"/>
    <w:rsid w:val="00496EC9"/>
    <w:rsid w:val="00497004"/>
    <w:rsid w:val="00497243"/>
    <w:rsid w:val="004977FC"/>
    <w:rsid w:val="00497A09"/>
    <w:rsid w:val="00497AA4"/>
    <w:rsid w:val="00497DA8"/>
    <w:rsid w:val="00497DB1"/>
    <w:rsid w:val="004A0D64"/>
    <w:rsid w:val="004A1029"/>
    <w:rsid w:val="004A1058"/>
    <w:rsid w:val="004A1405"/>
    <w:rsid w:val="004A1570"/>
    <w:rsid w:val="004A18A8"/>
    <w:rsid w:val="004A1E15"/>
    <w:rsid w:val="004A1EC7"/>
    <w:rsid w:val="004A1F7A"/>
    <w:rsid w:val="004A232C"/>
    <w:rsid w:val="004A266D"/>
    <w:rsid w:val="004A2750"/>
    <w:rsid w:val="004A2897"/>
    <w:rsid w:val="004A28AE"/>
    <w:rsid w:val="004A2AB5"/>
    <w:rsid w:val="004A2EB7"/>
    <w:rsid w:val="004A2FD8"/>
    <w:rsid w:val="004A3328"/>
    <w:rsid w:val="004A35B6"/>
    <w:rsid w:val="004A399A"/>
    <w:rsid w:val="004A39AC"/>
    <w:rsid w:val="004A3B1C"/>
    <w:rsid w:val="004A3B51"/>
    <w:rsid w:val="004A3B9A"/>
    <w:rsid w:val="004A3E92"/>
    <w:rsid w:val="004A3F4A"/>
    <w:rsid w:val="004A3F5A"/>
    <w:rsid w:val="004A4058"/>
    <w:rsid w:val="004A4155"/>
    <w:rsid w:val="004A43D6"/>
    <w:rsid w:val="004A43F7"/>
    <w:rsid w:val="004A46D1"/>
    <w:rsid w:val="004A4807"/>
    <w:rsid w:val="004A4A3F"/>
    <w:rsid w:val="004A4CAD"/>
    <w:rsid w:val="004A4CBF"/>
    <w:rsid w:val="004A4F48"/>
    <w:rsid w:val="004A5052"/>
    <w:rsid w:val="004A5243"/>
    <w:rsid w:val="004A5619"/>
    <w:rsid w:val="004A57D4"/>
    <w:rsid w:val="004A5E1E"/>
    <w:rsid w:val="004A6066"/>
    <w:rsid w:val="004A6362"/>
    <w:rsid w:val="004A68E5"/>
    <w:rsid w:val="004A6BC0"/>
    <w:rsid w:val="004A7086"/>
    <w:rsid w:val="004A749B"/>
    <w:rsid w:val="004A74C1"/>
    <w:rsid w:val="004A7B59"/>
    <w:rsid w:val="004B00B6"/>
    <w:rsid w:val="004B0997"/>
    <w:rsid w:val="004B0B15"/>
    <w:rsid w:val="004B0B67"/>
    <w:rsid w:val="004B1106"/>
    <w:rsid w:val="004B1420"/>
    <w:rsid w:val="004B1457"/>
    <w:rsid w:val="004B1990"/>
    <w:rsid w:val="004B1E26"/>
    <w:rsid w:val="004B1FF5"/>
    <w:rsid w:val="004B2015"/>
    <w:rsid w:val="004B2171"/>
    <w:rsid w:val="004B2520"/>
    <w:rsid w:val="004B25E7"/>
    <w:rsid w:val="004B27A2"/>
    <w:rsid w:val="004B27D9"/>
    <w:rsid w:val="004B2F95"/>
    <w:rsid w:val="004B34D8"/>
    <w:rsid w:val="004B3C21"/>
    <w:rsid w:val="004B3D12"/>
    <w:rsid w:val="004B441C"/>
    <w:rsid w:val="004B44B2"/>
    <w:rsid w:val="004B44B6"/>
    <w:rsid w:val="004B5088"/>
    <w:rsid w:val="004B50AF"/>
    <w:rsid w:val="004B53B1"/>
    <w:rsid w:val="004B55CA"/>
    <w:rsid w:val="004B562B"/>
    <w:rsid w:val="004B5648"/>
    <w:rsid w:val="004B56AD"/>
    <w:rsid w:val="004B582E"/>
    <w:rsid w:val="004B5DD4"/>
    <w:rsid w:val="004B6022"/>
    <w:rsid w:val="004B6026"/>
    <w:rsid w:val="004B60AB"/>
    <w:rsid w:val="004B6140"/>
    <w:rsid w:val="004B614B"/>
    <w:rsid w:val="004B61FC"/>
    <w:rsid w:val="004B6BD5"/>
    <w:rsid w:val="004B6C8E"/>
    <w:rsid w:val="004B727E"/>
    <w:rsid w:val="004B7A79"/>
    <w:rsid w:val="004B7DA8"/>
    <w:rsid w:val="004B7DEA"/>
    <w:rsid w:val="004C0000"/>
    <w:rsid w:val="004C0BDA"/>
    <w:rsid w:val="004C0EE4"/>
    <w:rsid w:val="004C101C"/>
    <w:rsid w:val="004C1132"/>
    <w:rsid w:val="004C1432"/>
    <w:rsid w:val="004C15D6"/>
    <w:rsid w:val="004C17D4"/>
    <w:rsid w:val="004C1EAC"/>
    <w:rsid w:val="004C2125"/>
    <w:rsid w:val="004C240D"/>
    <w:rsid w:val="004C252D"/>
    <w:rsid w:val="004C2576"/>
    <w:rsid w:val="004C288E"/>
    <w:rsid w:val="004C2B27"/>
    <w:rsid w:val="004C324F"/>
    <w:rsid w:val="004C32E7"/>
    <w:rsid w:val="004C350B"/>
    <w:rsid w:val="004C3561"/>
    <w:rsid w:val="004C3837"/>
    <w:rsid w:val="004C4903"/>
    <w:rsid w:val="004C499C"/>
    <w:rsid w:val="004C4BBD"/>
    <w:rsid w:val="004C4DE5"/>
    <w:rsid w:val="004C5167"/>
    <w:rsid w:val="004C54D2"/>
    <w:rsid w:val="004C54F4"/>
    <w:rsid w:val="004C55B8"/>
    <w:rsid w:val="004C56CF"/>
    <w:rsid w:val="004C57F6"/>
    <w:rsid w:val="004C58CC"/>
    <w:rsid w:val="004C5FA1"/>
    <w:rsid w:val="004C629B"/>
    <w:rsid w:val="004C66BF"/>
    <w:rsid w:val="004C6915"/>
    <w:rsid w:val="004C6F83"/>
    <w:rsid w:val="004C7127"/>
    <w:rsid w:val="004C71EB"/>
    <w:rsid w:val="004C7270"/>
    <w:rsid w:val="004C74B8"/>
    <w:rsid w:val="004C794B"/>
    <w:rsid w:val="004C7B56"/>
    <w:rsid w:val="004D01C1"/>
    <w:rsid w:val="004D0258"/>
    <w:rsid w:val="004D07EF"/>
    <w:rsid w:val="004D0826"/>
    <w:rsid w:val="004D0E6B"/>
    <w:rsid w:val="004D1401"/>
    <w:rsid w:val="004D19A6"/>
    <w:rsid w:val="004D1C93"/>
    <w:rsid w:val="004D22C8"/>
    <w:rsid w:val="004D24A9"/>
    <w:rsid w:val="004D26D7"/>
    <w:rsid w:val="004D2978"/>
    <w:rsid w:val="004D2F97"/>
    <w:rsid w:val="004D3061"/>
    <w:rsid w:val="004D30BD"/>
    <w:rsid w:val="004D35CC"/>
    <w:rsid w:val="004D383B"/>
    <w:rsid w:val="004D3879"/>
    <w:rsid w:val="004D3999"/>
    <w:rsid w:val="004D3AD2"/>
    <w:rsid w:val="004D3B02"/>
    <w:rsid w:val="004D3BB2"/>
    <w:rsid w:val="004D3D3B"/>
    <w:rsid w:val="004D411C"/>
    <w:rsid w:val="004D426B"/>
    <w:rsid w:val="004D4382"/>
    <w:rsid w:val="004D4565"/>
    <w:rsid w:val="004D46BF"/>
    <w:rsid w:val="004D4D30"/>
    <w:rsid w:val="004D5299"/>
    <w:rsid w:val="004D530E"/>
    <w:rsid w:val="004D574B"/>
    <w:rsid w:val="004D5FB0"/>
    <w:rsid w:val="004D617E"/>
    <w:rsid w:val="004D627F"/>
    <w:rsid w:val="004D66DA"/>
    <w:rsid w:val="004D6A2D"/>
    <w:rsid w:val="004D6A8E"/>
    <w:rsid w:val="004D6AB9"/>
    <w:rsid w:val="004D6AE9"/>
    <w:rsid w:val="004D6D01"/>
    <w:rsid w:val="004D7561"/>
    <w:rsid w:val="004D76E8"/>
    <w:rsid w:val="004D7722"/>
    <w:rsid w:val="004D78A2"/>
    <w:rsid w:val="004D7E42"/>
    <w:rsid w:val="004D7EE9"/>
    <w:rsid w:val="004E0219"/>
    <w:rsid w:val="004E024B"/>
    <w:rsid w:val="004E0464"/>
    <w:rsid w:val="004E05F7"/>
    <w:rsid w:val="004E06A9"/>
    <w:rsid w:val="004E0B6D"/>
    <w:rsid w:val="004E1200"/>
    <w:rsid w:val="004E1213"/>
    <w:rsid w:val="004E15BB"/>
    <w:rsid w:val="004E15FD"/>
    <w:rsid w:val="004E1787"/>
    <w:rsid w:val="004E19D9"/>
    <w:rsid w:val="004E1D2A"/>
    <w:rsid w:val="004E1D9B"/>
    <w:rsid w:val="004E25F9"/>
    <w:rsid w:val="004E260E"/>
    <w:rsid w:val="004E297F"/>
    <w:rsid w:val="004E2B37"/>
    <w:rsid w:val="004E33CC"/>
    <w:rsid w:val="004E343B"/>
    <w:rsid w:val="004E355E"/>
    <w:rsid w:val="004E3592"/>
    <w:rsid w:val="004E3887"/>
    <w:rsid w:val="004E3955"/>
    <w:rsid w:val="004E3A57"/>
    <w:rsid w:val="004E3AC2"/>
    <w:rsid w:val="004E4028"/>
    <w:rsid w:val="004E45A0"/>
    <w:rsid w:val="004E49BF"/>
    <w:rsid w:val="004E4E11"/>
    <w:rsid w:val="004E52C3"/>
    <w:rsid w:val="004E565D"/>
    <w:rsid w:val="004E56A1"/>
    <w:rsid w:val="004E5724"/>
    <w:rsid w:val="004E5A4B"/>
    <w:rsid w:val="004E5CDD"/>
    <w:rsid w:val="004E5EF5"/>
    <w:rsid w:val="004E6104"/>
    <w:rsid w:val="004E610A"/>
    <w:rsid w:val="004E61FF"/>
    <w:rsid w:val="004E651F"/>
    <w:rsid w:val="004E6A2E"/>
    <w:rsid w:val="004E6B20"/>
    <w:rsid w:val="004E6CAC"/>
    <w:rsid w:val="004E6E28"/>
    <w:rsid w:val="004E7055"/>
    <w:rsid w:val="004E729F"/>
    <w:rsid w:val="004E7325"/>
    <w:rsid w:val="004E73D3"/>
    <w:rsid w:val="004E7592"/>
    <w:rsid w:val="004E77E7"/>
    <w:rsid w:val="004E7CA6"/>
    <w:rsid w:val="004E7DE9"/>
    <w:rsid w:val="004F0190"/>
    <w:rsid w:val="004F0397"/>
    <w:rsid w:val="004F055B"/>
    <w:rsid w:val="004F05ED"/>
    <w:rsid w:val="004F0D10"/>
    <w:rsid w:val="004F0E96"/>
    <w:rsid w:val="004F0EA9"/>
    <w:rsid w:val="004F106E"/>
    <w:rsid w:val="004F11DA"/>
    <w:rsid w:val="004F1872"/>
    <w:rsid w:val="004F1B05"/>
    <w:rsid w:val="004F1BEA"/>
    <w:rsid w:val="004F1EFF"/>
    <w:rsid w:val="004F2155"/>
    <w:rsid w:val="004F2188"/>
    <w:rsid w:val="004F2470"/>
    <w:rsid w:val="004F26B6"/>
    <w:rsid w:val="004F27B1"/>
    <w:rsid w:val="004F28BE"/>
    <w:rsid w:val="004F2A48"/>
    <w:rsid w:val="004F2A9E"/>
    <w:rsid w:val="004F2CA7"/>
    <w:rsid w:val="004F2CED"/>
    <w:rsid w:val="004F3022"/>
    <w:rsid w:val="004F33D0"/>
    <w:rsid w:val="004F3596"/>
    <w:rsid w:val="004F378B"/>
    <w:rsid w:val="004F37B3"/>
    <w:rsid w:val="004F3A4B"/>
    <w:rsid w:val="004F3B4D"/>
    <w:rsid w:val="004F3B7D"/>
    <w:rsid w:val="004F3C96"/>
    <w:rsid w:val="004F3D92"/>
    <w:rsid w:val="004F3DBE"/>
    <w:rsid w:val="004F3F1D"/>
    <w:rsid w:val="004F424D"/>
    <w:rsid w:val="004F4420"/>
    <w:rsid w:val="004F4571"/>
    <w:rsid w:val="004F45DA"/>
    <w:rsid w:val="004F480C"/>
    <w:rsid w:val="004F5213"/>
    <w:rsid w:val="004F5C4F"/>
    <w:rsid w:val="004F5D6E"/>
    <w:rsid w:val="004F6017"/>
    <w:rsid w:val="004F6229"/>
    <w:rsid w:val="004F627A"/>
    <w:rsid w:val="004F6988"/>
    <w:rsid w:val="004F6B36"/>
    <w:rsid w:val="004F6B9C"/>
    <w:rsid w:val="004F770E"/>
    <w:rsid w:val="004F7A1B"/>
    <w:rsid w:val="004F7EA8"/>
    <w:rsid w:val="004F7F99"/>
    <w:rsid w:val="004F7FE8"/>
    <w:rsid w:val="005000B2"/>
    <w:rsid w:val="00500799"/>
    <w:rsid w:val="00500B35"/>
    <w:rsid w:val="005011B6"/>
    <w:rsid w:val="005012F5"/>
    <w:rsid w:val="00501749"/>
    <w:rsid w:val="00501846"/>
    <w:rsid w:val="00501C0A"/>
    <w:rsid w:val="00501D2D"/>
    <w:rsid w:val="0050250E"/>
    <w:rsid w:val="00502706"/>
    <w:rsid w:val="005027D1"/>
    <w:rsid w:val="00502826"/>
    <w:rsid w:val="00502990"/>
    <w:rsid w:val="00502B61"/>
    <w:rsid w:val="00502DD2"/>
    <w:rsid w:val="00502E32"/>
    <w:rsid w:val="00502EBD"/>
    <w:rsid w:val="0050312E"/>
    <w:rsid w:val="00503155"/>
    <w:rsid w:val="0050316D"/>
    <w:rsid w:val="0050381F"/>
    <w:rsid w:val="00503B95"/>
    <w:rsid w:val="00504032"/>
    <w:rsid w:val="005043F0"/>
    <w:rsid w:val="005044D6"/>
    <w:rsid w:val="005045E7"/>
    <w:rsid w:val="005047E7"/>
    <w:rsid w:val="005050A1"/>
    <w:rsid w:val="005050B6"/>
    <w:rsid w:val="00505130"/>
    <w:rsid w:val="005058B9"/>
    <w:rsid w:val="005058CC"/>
    <w:rsid w:val="00505AEE"/>
    <w:rsid w:val="00505CB9"/>
    <w:rsid w:val="00505D0D"/>
    <w:rsid w:val="00505D66"/>
    <w:rsid w:val="00505E27"/>
    <w:rsid w:val="00506374"/>
    <w:rsid w:val="00506DDB"/>
    <w:rsid w:val="00506E31"/>
    <w:rsid w:val="00506EE6"/>
    <w:rsid w:val="00506F4B"/>
    <w:rsid w:val="005070B5"/>
    <w:rsid w:val="005072D3"/>
    <w:rsid w:val="005076A3"/>
    <w:rsid w:val="00507E39"/>
    <w:rsid w:val="0051025F"/>
    <w:rsid w:val="0051087A"/>
    <w:rsid w:val="005110C7"/>
    <w:rsid w:val="0051111D"/>
    <w:rsid w:val="005117A6"/>
    <w:rsid w:val="00511BBF"/>
    <w:rsid w:val="00511C98"/>
    <w:rsid w:val="00512154"/>
    <w:rsid w:val="005121FD"/>
    <w:rsid w:val="0051269F"/>
    <w:rsid w:val="005126B9"/>
    <w:rsid w:val="00512824"/>
    <w:rsid w:val="0051288C"/>
    <w:rsid w:val="005128D2"/>
    <w:rsid w:val="005129CE"/>
    <w:rsid w:val="00512AE6"/>
    <w:rsid w:val="00512CE1"/>
    <w:rsid w:val="00512D3A"/>
    <w:rsid w:val="00512EEF"/>
    <w:rsid w:val="00512FFA"/>
    <w:rsid w:val="0051301B"/>
    <w:rsid w:val="00513A3A"/>
    <w:rsid w:val="00513A4F"/>
    <w:rsid w:val="00513A91"/>
    <w:rsid w:val="00513ADF"/>
    <w:rsid w:val="00514509"/>
    <w:rsid w:val="005147D5"/>
    <w:rsid w:val="00514ADC"/>
    <w:rsid w:val="00514B8F"/>
    <w:rsid w:val="00514BC9"/>
    <w:rsid w:val="00514FC6"/>
    <w:rsid w:val="00515139"/>
    <w:rsid w:val="005151F0"/>
    <w:rsid w:val="0051578F"/>
    <w:rsid w:val="00515A48"/>
    <w:rsid w:val="00515BD8"/>
    <w:rsid w:val="00516117"/>
    <w:rsid w:val="005165AB"/>
    <w:rsid w:val="005166E6"/>
    <w:rsid w:val="00516832"/>
    <w:rsid w:val="0051686E"/>
    <w:rsid w:val="00516929"/>
    <w:rsid w:val="00516F05"/>
    <w:rsid w:val="00517050"/>
    <w:rsid w:val="00517499"/>
    <w:rsid w:val="0051755E"/>
    <w:rsid w:val="005176EA"/>
    <w:rsid w:val="005179B2"/>
    <w:rsid w:val="00517B6D"/>
    <w:rsid w:val="00517C0B"/>
    <w:rsid w:val="00517EEA"/>
    <w:rsid w:val="00520151"/>
    <w:rsid w:val="00520A8F"/>
    <w:rsid w:val="00520B0A"/>
    <w:rsid w:val="00520B86"/>
    <w:rsid w:val="00520E9D"/>
    <w:rsid w:val="0052150F"/>
    <w:rsid w:val="005215F9"/>
    <w:rsid w:val="0052167C"/>
    <w:rsid w:val="005217D9"/>
    <w:rsid w:val="0052192C"/>
    <w:rsid w:val="00521D29"/>
    <w:rsid w:val="005221A6"/>
    <w:rsid w:val="005223A2"/>
    <w:rsid w:val="005225EE"/>
    <w:rsid w:val="00522744"/>
    <w:rsid w:val="00522D39"/>
    <w:rsid w:val="0052326B"/>
    <w:rsid w:val="005237D5"/>
    <w:rsid w:val="00523B85"/>
    <w:rsid w:val="00523D45"/>
    <w:rsid w:val="00523E95"/>
    <w:rsid w:val="005245DB"/>
    <w:rsid w:val="00524A07"/>
    <w:rsid w:val="00525037"/>
    <w:rsid w:val="0052514A"/>
    <w:rsid w:val="00525354"/>
    <w:rsid w:val="0052565E"/>
    <w:rsid w:val="00525E2D"/>
    <w:rsid w:val="00525F00"/>
    <w:rsid w:val="00525FAF"/>
    <w:rsid w:val="00526020"/>
    <w:rsid w:val="00526078"/>
    <w:rsid w:val="005261FB"/>
    <w:rsid w:val="0052643D"/>
    <w:rsid w:val="00526581"/>
    <w:rsid w:val="00526657"/>
    <w:rsid w:val="005266B9"/>
    <w:rsid w:val="00526958"/>
    <w:rsid w:val="00526C54"/>
    <w:rsid w:val="00526CB0"/>
    <w:rsid w:val="00526FCC"/>
    <w:rsid w:val="005273B2"/>
    <w:rsid w:val="00527484"/>
    <w:rsid w:val="00527550"/>
    <w:rsid w:val="0052769C"/>
    <w:rsid w:val="005276D3"/>
    <w:rsid w:val="00527B4D"/>
    <w:rsid w:val="0053001F"/>
    <w:rsid w:val="005305AF"/>
    <w:rsid w:val="005305E0"/>
    <w:rsid w:val="00530858"/>
    <w:rsid w:val="0053087E"/>
    <w:rsid w:val="005309E2"/>
    <w:rsid w:val="00530AE0"/>
    <w:rsid w:val="00530D39"/>
    <w:rsid w:val="00530E3F"/>
    <w:rsid w:val="00530EDD"/>
    <w:rsid w:val="00530FAF"/>
    <w:rsid w:val="0053187C"/>
    <w:rsid w:val="005319C3"/>
    <w:rsid w:val="00531ACC"/>
    <w:rsid w:val="00531BC5"/>
    <w:rsid w:val="00531D06"/>
    <w:rsid w:val="00531E84"/>
    <w:rsid w:val="00531E92"/>
    <w:rsid w:val="005321DE"/>
    <w:rsid w:val="005322E5"/>
    <w:rsid w:val="005324BD"/>
    <w:rsid w:val="005325AC"/>
    <w:rsid w:val="00532716"/>
    <w:rsid w:val="00532F69"/>
    <w:rsid w:val="005330D7"/>
    <w:rsid w:val="00533102"/>
    <w:rsid w:val="005331B7"/>
    <w:rsid w:val="00533325"/>
    <w:rsid w:val="0053371B"/>
    <w:rsid w:val="00533AF4"/>
    <w:rsid w:val="0053477C"/>
    <w:rsid w:val="005347E3"/>
    <w:rsid w:val="0053489E"/>
    <w:rsid w:val="005349E5"/>
    <w:rsid w:val="00534D7E"/>
    <w:rsid w:val="00534DD7"/>
    <w:rsid w:val="00535447"/>
    <w:rsid w:val="00535505"/>
    <w:rsid w:val="00535716"/>
    <w:rsid w:val="00535776"/>
    <w:rsid w:val="00535A78"/>
    <w:rsid w:val="00535B3B"/>
    <w:rsid w:val="005366A7"/>
    <w:rsid w:val="005366F4"/>
    <w:rsid w:val="00536A19"/>
    <w:rsid w:val="00536AEE"/>
    <w:rsid w:val="00536CD0"/>
    <w:rsid w:val="00536CE7"/>
    <w:rsid w:val="00537179"/>
    <w:rsid w:val="00537543"/>
    <w:rsid w:val="00537565"/>
    <w:rsid w:val="0053789C"/>
    <w:rsid w:val="00537DE3"/>
    <w:rsid w:val="00540249"/>
    <w:rsid w:val="0054052B"/>
    <w:rsid w:val="00540681"/>
    <w:rsid w:val="0054087F"/>
    <w:rsid w:val="005409AA"/>
    <w:rsid w:val="00541433"/>
    <w:rsid w:val="005414FB"/>
    <w:rsid w:val="00541C26"/>
    <w:rsid w:val="00541C4A"/>
    <w:rsid w:val="00541ED8"/>
    <w:rsid w:val="00542180"/>
    <w:rsid w:val="0054273E"/>
    <w:rsid w:val="005427A1"/>
    <w:rsid w:val="0054296B"/>
    <w:rsid w:val="00543ADB"/>
    <w:rsid w:val="00543C2C"/>
    <w:rsid w:val="00543CBF"/>
    <w:rsid w:val="00543ED0"/>
    <w:rsid w:val="0054408F"/>
    <w:rsid w:val="0054411F"/>
    <w:rsid w:val="0054422C"/>
    <w:rsid w:val="005443FA"/>
    <w:rsid w:val="0054440C"/>
    <w:rsid w:val="005447FF"/>
    <w:rsid w:val="005449AD"/>
    <w:rsid w:val="00544CA9"/>
    <w:rsid w:val="00544D16"/>
    <w:rsid w:val="00544DEF"/>
    <w:rsid w:val="00544F09"/>
    <w:rsid w:val="00545182"/>
    <w:rsid w:val="00545280"/>
    <w:rsid w:val="005452AD"/>
    <w:rsid w:val="0054535A"/>
    <w:rsid w:val="00545514"/>
    <w:rsid w:val="005455E0"/>
    <w:rsid w:val="00545817"/>
    <w:rsid w:val="00545C42"/>
    <w:rsid w:val="00545C7D"/>
    <w:rsid w:val="00546662"/>
    <w:rsid w:val="005468E3"/>
    <w:rsid w:val="00546DE6"/>
    <w:rsid w:val="00547413"/>
    <w:rsid w:val="00547780"/>
    <w:rsid w:val="00547AFE"/>
    <w:rsid w:val="00547CD9"/>
    <w:rsid w:val="00547DF0"/>
    <w:rsid w:val="00547E02"/>
    <w:rsid w:val="005501BE"/>
    <w:rsid w:val="005503E6"/>
    <w:rsid w:val="00550571"/>
    <w:rsid w:val="005505D8"/>
    <w:rsid w:val="005508C5"/>
    <w:rsid w:val="00550A21"/>
    <w:rsid w:val="00550A32"/>
    <w:rsid w:val="00551772"/>
    <w:rsid w:val="0055177F"/>
    <w:rsid w:val="0055178B"/>
    <w:rsid w:val="005519AC"/>
    <w:rsid w:val="00551DEC"/>
    <w:rsid w:val="00551F2D"/>
    <w:rsid w:val="00552175"/>
    <w:rsid w:val="005522E9"/>
    <w:rsid w:val="005523A4"/>
    <w:rsid w:val="00552581"/>
    <w:rsid w:val="005528FE"/>
    <w:rsid w:val="00552912"/>
    <w:rsid w:val="00552A9D"/>
    <w:rsid w:val="00552AD0"/>
    <w:rsid w:val="00552B0F"/>
    <w:rsid w:val="00552CEC"/>
    <w:rsid w:val="005531F5"/>
    <w:rsid w:val="0055353A"/>
    <w:rsid w:val="00553A5D"/>
    <w:rsid w:val="00553C5C"/>
    <w:rsid w:val="00553EA5"/>
    <w:rsid w:val="0055497E"/>
    <w:rsid w:val="00554B3A"/>
    <w:rsid w:val="00554FAC"/>
    <w:rsid w:val="00555152"/>
    <w:rsid w:val="005553DD"/>
    <w:rsid w:val="005555B6"/>
    <w:rsid w:val="00555F6A"/>
    <w:rsid w:val="005560B7"/>
    <w:rsid w:val="00556A42"/>
    <w:rsid w:val="00556C26"/>
    <w:rsid w:val="0055733D"/>
    <w:rsid w:val="0055748D"/>
    <w:rsid w:val="00557681"/>
    <w:rsid w:val="005577A5"/>
    <w:rsid w:val="005578F1"/>
    <w:rsid w:val="00557A25"/>
    <w:rsid w:val="00560055"/>
    <w:rsid w:val="005601C3"/>
    <w:rsid w:val="005605A6"/>
    <w:rsid w:val="00560900"/>
    <w:rsid w:val="005611A5"/>
    <w:rsid w:val="0056121B"/>
    <w:rsid w:val="005617A4"/>
    <w:rsid w:val="00561A2F"/>
    <w:rsid w:val="005622D8"/>
    <w:rsid w:val="0056241C"/>
    <w:rsid w:val="00562F0E"/>
    <w:rsid w:val="00563062"/>
    <w:rsid w:val="0056315E"/>
    <w:rsid w:val="00563363"/>
    <w:rsid w:val="005635E9"/>
    <w:rsid w:val="0056366F"/>
    <w:rsid w:val="0056399D"/>
    <w:rsid w:val="00563BF9"/>
    <w:rsid w:val="00563F26"/>
    <w:rsid w:val="00563FB4"/>
    <w:rsid w:val="005640A8"/>
    <w:rsid w:val="00564423"/>
    <w:rsid w:val="005648FA"/>
    <w:rsid w:val="00564D35"/>
    <w:rsid w:val="00564F2B"/>
    <w:rsid w:val="00564F6A"/>
    <w:rsid w:val="0056554A"/>
    <w:rsid w:val="005655A3"/>
    <w:rsid w:val="00565716"/>
    <w:rsid w:val="0056572B"/>
    <w:rsid w:val="00565860"/>
    <w:rsid w:val="00565FC4"/>
    <w:rsid w:val="0056614F"/>
    <w:rsid w:val="0056615B"/>
    <w:rsid w:val="00566774"/>
    <w:rsid w:val="00566CFB"/>
    <w:rsid w:val="00566F95"/>
    <w:rsid w:val="00566FEA"/>
    <w:rsid w:val="0056731B"/>
    <w:rsid w:val="005676C4"/>
    <w:rsid w:val="00567781"/>
    <w:rsid w:val="00567945"/>
    <w:rsid w:val="00567D84"/>
    <w:rsid w:val="0057054F"/>
    <w:rsid w:val="00570A12"/>
    <w:rsid w:val="00570A1C"/>
    <w:rsid w:val="00570D81"/>
    <w:rsid w:val="00570F11"/>
    <w:rsid w:val="00570FB8"/>
    <w:rsid w:val="00571294"/>
    <w:rsid w:val="0057129E"/>
    <w:rsid w:val="005712BE"/>
    <w:rsid w:val="0057178C"/>
    <w:rsid w:val="00571C35"/>
    <w:rsid w:val="00571C9C"/>
    <w:rsid w:val="00571FB0"/>
    <w:rsid w:val="005723F8"/>
    <w:rsid w:val="005724E9"/>
    <w:rsid w:val="0057335A"/>
    <w:rsid w:val="00573496"/>
    <w:rsid w:val="005734B3"/>
    <w:rsid w:val="0057364A"/>
    <w:rsid w:val="00573B14"/>
    <w:rsid w:val="005748BF"/>
    <w:rsid w:val="00574B0E"/>
    <w:rsid w:val="00574E2D"/>
    <w:rsid w:val="005753B5"/>
    <w:rsid w:val="0057556B"/>
    <w:rsid w:val="00575668"/>
    <w:rsid w:val="00575E06"/>
    <w:rsid w:val="0057602B"/>
    <w:rsid w:val="0057612E"/>
    <w:rsid w:val="0057674B"/>
    <w:rsid w:val="005767F5"/>
    <w:rsid w:val="00576857"/>
    <w:rsid w:val="00576BA9"/>
    <w:rsid w:val="00576DB3"/>
    <w:rsid w:val="005772E2"/>
    <w:rsid w:val="00577306"/>
    <w:rsid w:val="00577CA5"/>
    <w:rsid w:val="00577EBB"/>
    <w:rsid w:val="00580103"/>
    <w:rsid w:val="00580109"/>
    <w:rsid w:val="00580524"/>
    <w:rsid w:val="005806B5"/>
    <w:rsid w:val="00580716"/>
    <w:rsid w:val="005810C6"/>
    <w:rsid w:val="0058120D"/>
    <w:rsid w:val="00581CBC"/>
    <w:rsid w:val="00581D63"/>
    <w:rsid w:val="005821AB"/>
    <w:rsid w:val="005824B0"/>
    <w:rsid w:val="0058262B"/>
    <w:rsid w:val="00582749"/>
    <w:rsid w:val="005828AD"/>
    <w:rsid w:val="005838F9"/>
    <w:rsid w:val="00584271"/>
    <w:rsid w:val="005844BC"/>
    <w:rsid w:val="005848A5"/>
    <w:rsid w:val="00584BF4"/>
    <w:rsid w:val="00584C98"/>
    <w:rsid w:val="00584DA8"/>
    <w:rsid w:val="005850E1"/>
    <w:rsid w:val="00585283"/>
    <w:rsid w:val="0058528B"/>
    <w:rsid w:val="005852C3"/>
    <w:rsid w:val="0058530D"/>
    <w:rsid w:val="005854A6"/>
    <w:rsid w:val="00585779"/>
    <w:rsid w:val="0058591B"/>
    <w:rsid w:val="00585BF0"/>
    <w:rsid w:val="00585D84"/>
    <w:rsid w:val="00586416"/>
    <w:rsid w:val="00586771"/>
    <w:rsid w:val="00586818"/>
    <w:rsid w:val="00586F89"/>
    <w:rsid w:val="00587408"/>
    <w:rsid w:val="005875CB"/>
    <w:rsid w:val="005877D1"/>
    <w:rsid w:val="00587988"/>
    <w:rsid w:val="00587A82"/>
    <w:rsid w:val="00587ABE"/>
    <w:rsid w:val="00587BD9"/>
    <w:rsid w:val="00587E80"/>
    <w:rsid w:val="0059041F"/>
    <w:rsid w:val="005904BF"/>
    <w:rsid w:val="00590EFC"/>
    <w:rsid w:val="005910CC"/>
    <w:rsid w:val="005911FA"/>
    <w:rsid w:val="00591337"/>
    <w:rsid w:val="005919FD"/>
    <w:rsid w:val="00591A55"/>
    <w:rsid w:val="00591D38"/>
    <w:rsid w:val="00591D48"/>
    <w:rsid w:val="0059225A"/>
    <w:rsid w:val="00592587"/>
    <w:rsid w:val="0059271D"/>
    <w:rsid w:val="0059280A"/>
    <w:rsid w:val="0059286D"/>
    <w:rsid w:val="00592BCB"/>
    <w:rsid w:val="00592E93"/>
    <w:rsid w:val="00593110"/>
    <w:rsid w:val="00593204"/>
    <w:rsid w:val="0059344C"/>
    <w:rsid w:val="005934C6"/>
    <w:rsid w:val="0059396D"/>
    <w:rsid w:val="005939E1"/>
    <w:rsid w:val="00593A32"/>
    <w:rsid w:val="00593E2F"/>
    <w:rsid w:val="00593F2F"/>
    <w:rsid w:val="0059400F"/>
    <w:rsid w:val="00594822"/>
    <w:rsid w:val="0059483A"/>
    <w:rsid w:val="005949A5"/>
    <w:rsid w:val="00594B23"/>
    <w:rsid w:val="00594F59"/>
    <w:rsid w:val="0059512D"/>
    <w:rsid w:val="0059532E"/>
    <w:rsid w:val="005956D2"/>
    <w:rsid w:val="00595F8F"/>
    <w:rsid w:val="005961D3"/>
    <w:rsid w:val="0059637C"/>
    <w:rsid w:val="0059664E"/>
    <w:rsid w:val="00596CD7"/>
    <w:rsid w:val="00596D94"/>
    <w:rsid w:val="005978CC"/>
    <w:rsid w:val="005979FF"/>
    <w:rsid w:val="00597C52"/>
    <w:rsid w:val="005A02CD"/>
    <w:rsid w:val="005A0CF2"/>
    <w:rsid w:val="005A140B"/>
    <w:rsid w:val="005A141A"/>
    <w:rsid w:val="005A1A76"/>
    <w:rsid w:val="005A1BC4"/>
    <w:rsid w:val="005A1C1B"/>
    <w:rsid w:val="005A1C50"/>
    <w:rsid w:val="005A1D64"/>
    <w:rsid w:val="005A1F27"/>
    <w:rsid w:val="005A249F"/>
    <w:rsid w:val="005A25AA"/>
    <w:rsid w:val="005A25F4"/>
    <w:rsid w:val="005A2BBC"/>
    <w:rsid w:val="005A2DB4"/>
    <w:rsid w:val="005A41C2"/>
    <w:rsid w:val="005A41D5"/>
    <w:rsid w:val="005A43D9"/>
    <w:rsid w:val="005A486F"/>
    <w:rsid w:val="005A4A59"/>
    <w:rsid w:val="005A4B06"/>
    <w:rsid w:val="005A4C88"/>
    <w:rsid w:val="005A4E45"/>
    <w:rsid w:val="005A52AA"/>
    <w:rsid w:val="005A52D7"/>
    <w:rsid w:val="005A5363"/>
    <w:rsid w:val="005A5390"/>
    <w:rsid w:val="005A5470"/>
    <w:rsid w:val="005A5737"/>
    <w:rsid w:val="005A58B3"/>
    <w:rsid w:val="005A5B64"/>
    <w:rsid w:val="005A5F03"/>
    <w:rsid w:val="005A6186"/>
    <w:rsid w:val="005A6213"/>
    <w:rsid w:val="005A651E"/>
    <w:rsid w:val="005A6532"/>
    <w:rsid w:val="005A65ED"/>
    <w:rsid w:val="005A66D3"/>
    <w:rsid w:val="005A70AC"/>
    <w:rsid w:val="005A777D"/>
    <w:rsid w:val="005A7A03"/>
    <w:rsid w:val="005A7D94"/>
    <w:rsid w:val="005B05C7"/>
    <w:rsid w:val="005B06E4"/>
    <w:rsid w:val="005B0C2C"/>
    <w:rsid w:val="005B140C"/>
    <w:rsid w:val="005B14D8"/>
    <w:rsid w:val="005B1C6A"/>
    <w:rsid w:val="005B1D10"/>
    <w:rsid w:val="005B201F"/>
    <w:rsid w:val="005B2CFF"/>
    <w:rsid w:val="005B2E5B"/>
    <w:rsid w:val="005B37A5"/>
    <w:rsid w:val="005B3816"/>
    <w:rsid w:val="005B3C9C"/>
    <w:rsid w:val="005B3E16"/>
    <w:rsid w:val="005B4469"/>
    <w:rsid w:val="005B47CD"/>
    <w:rsid w:val="005B489C"/>
    <w:rsid w:val="005B48DA"/>
    <w:rsid w:val="005B4AF3"/>
    <w:rsid w:val="005B4B8E"/>
    <w:rsid w:val="005B4C28"/>
    <w:rsid w:val="005B4C77"/>
    <w:rsid w:val="005B4CAD"/>
    <w:rsid w:val="005B4EBA"/>
    <w:rsid w:val="005B4FF8"/>
    <w:rsid w:val="005B5ABE"/>
    <w:rsid w:val="005B5C97"/>
    <w:rsid w:val="005B5DE9"/>
    <w:rsid w:val="005B5E46"/>
    <w:rsid w:val="005B5E6C"/>
    <w:rsid w:val="005B6130"/>
    <w:rsid w:val="005B61EB"/>
    <w:rsid w:val="005B655B"/>
    <w:rsid w:val="005B6682"/>
    <w:rsid w:val="005B6F76"/>
    <w:rsid w:val="005B705D"/>
    <w:rsid w:val="005B722A"/>
    <w:rsid w:val="005B750C"/>
    <w:rsid w:val="005B756A"/>
    <w:rsid w:val="005B7827"/>
    <w:rsid w:val="005B7B19"/>
    <w:rsid w:val="005B7DB6"/>
    <w:rsid w:val="005C02D8"/>
    <w:rsid w:val="005C037D"/>
    <w:rsid w:val="005C04FE"/>
    <w:rsid w:val="005C19FD"/>
    <w:rsid w:val="005C1B33"/>
    <w:rsid w:val="005C1CBE"/>
    <w:rsid w:val="005C1EBC"/>
    <w:rsid w:val="005C2298"/>
    <w:rsid w:val="005C25A4"/>
    <w:rsid w:val="005C2E58"/>
    <w:rsid w:val="005C3121"/>
    <w:rsid w:val="005C3134"/>
    <w:rsid w:val="005C3294"/>
    <w:rsid w:val="005C36AE"/>
    <w:rsid w:val="005C3B80"/>
    <w:rsid w:val="005C3C23"/>
    <w:rsid w:val="005C4F4D"/>
    <w:rsid w:val="005C4FDC"/>
    <w:rsid w:val="005C5292"/>
    <w:rsid w:val="005C53FB"/>
    <w:rsid w:val="005C54F6"/>
    <w:rsid w:val="005C557B"/>
    <w:rsid w:val="005C613C"/>
    <w:rsid w:val="005C61A1"/>
    <w:rsid w:val="005C66B0"/>
    <w:rsid w:val="005C6DC6"/>
    <w:rsid w:val="005C702A"/>
    <w:rsid w:val="005C707F"/>
    <w:rsid w:val="005C70AE"/>
    <w:rsid w:val="005C733C"/>
    <w:rsid w:val="005C7816"/>
    <w:rsid w:val="005C78F4"/>
    <w:rsid w:val="005C78FD"/>
    <w:rsid w:val="005C7A1C"/>
    <w:rsid w:val="005C7C74"/>
    <w:rsid w:val="005D01BD"/>
    <w:rsid w:val="005D0286"/>
    <w:rsid w:val="005D029A"/>
    <w:rsid w:val="005D062D"/>
    <w:rsid w:val="005D0877"/>
    <w:rsid w:val="005D105C"/>
    <w:rsid w:val="005D133D"/>
    <w:rsid w:val="005D13E2"/>
    <w:rsid w:val="005D177C"/>
    <w:rsid w:val="005D18A1"/>
    <w:rsid w:val="005D1925"/>
    <w:rsid w:val="005D1B81"/>
    <w:rsid w:val="005D1E6A"/>
    <w:rsid w:val="005D2662"/>
    <w:rsid w:val="005D2C07"/>
    <w:rsid w:val="005D2CA8"/>
    <w:rsid w:val="005D2CCD"/>
    <w:rsid w:val="005D2E20"/>
    <w:rsid w:val="005D30DC"/>
    <w:rsid w:val="005D3128"/>
    <w:rsid w:val="005D3548"/>
    <w:rsid w:val="005D36B7"/>
    <w:rsid w:val="005D46E9"/>
    <w:rsid w:val="005D47C4"/>
    <w:rsid w:val="005D4E8A"/>
    <w:rsid w:val="005D505F"/>
    <w:rsid w:val="005D50F7"/>
    <w:rsid w:val="005D55DC"/>
    <w:rsid w:val="005D55E4"/>
    <w:rsid w:val="005D55E9"/>
    <w:rsid w:val="005D5953"/>
    <w:rsid w:val="005D5E74"/>
    <w:rsid w:val="005D5ECC"/>
    <w:rsid w:val="005D5F6F"/>
    <w:rsid w:val="005D617E"/>
    <w:rsid w:val="005D62BF"/>
    <w:rsid w:val="005D7072"/>
    <w:rsid w:val="005D7080"/>
    <w:rsid w:val="005D7622"/>
    <w:rsid w:val="005D78BB"/>
    <w:rsid w:val="005D79FF"/>
    <w:rsid w:val="005D7CED"/>
    <w:rsid w:val="005D7DED"/>
    <w:rsid w:val="005E01B1"/>
    <w:rsid w:val="005E08B9"/>
    <w:rsid w:val="005E08FF"/>
    <w:rsid w:val="005E0BC3"/>
    <w:rsid w:val="005E0EE2"/>
    <w:rsid w:val="005E1389"/>
    <w:rsid w:val="005E22A5"/>
    <w:rsid w:val="005E2347"/>
    <w:rsid w:val="005E253B"/>
    <w:rsid w:val="005E2793"/>
    <w:rsid w:val="005E2A47"/>
    <w:rsid w:val="005E2B1B"/>
    <w:rsid w:val="005E2DCA"/>
    <w:rsid w:val="005E2DD9"/>
    <w:rsid w:val="005E2FCC"/>
    <w:rsid w:val="005E3250"/>
    <w:rsid w:val="005E340F"/>
    <w:rsid w:val="005E3479"/>
    <w:rsid w:val="005E3779"/>
    <w:rsid w:val="005E3D6B"/>
    <w:rsid w:val="005E3E2C"/>
    <w:rsid w:val="005E404B"/>
    <w:rsid w:val="005E42EE"/>
    <w:rsid w:val="005E43DC"/>
    <w:rsid w:val="005E4507"/>
    <w:rsid w:val="005E4649"/>
    <w:rsid w:val="005E4836"/>
    <w:rsid w:val="005E4888"/>
    <w:rsid w:val="005E4A1C"/>
    <w:rsid w:val="005E4D0F"/>
    <w:rsid w:val="005E507B"/>
    <w:rsid w:val="005E53B0"/>
    <w:rsid w:val="005E559E"/>
    <w:rsid w:val="005E55B6"/>
    <w:rsid w:val="005E5644"/>
    <w:rsid w:val="005E5776"/>
    <w:rsid w:val="005E59C0"/>
    <w:rsid w:val="005E5CDC"/>
    <w:rsid w:val="005E5F81"/>
    <w:rsid w:val="005E5F9B"/>
    <w:rsid w:val="005E65C3"/>
    <w:rsid w:val="005E6832"/>
    <w:rsid w:val="005E69CA"/>
    <w:rsid w:val="005E6A59"/>
    <w:rsid w:val="005E6BEC"/>
    <w:rsid w:val="005E715F"/>
    <w:rsid w:val="005E7265"/>
    <w:rsid w:val="005E781A"/>
    <w:rsid w:val="005E7C93"/>
    <w:rsid w:val="005E7D82"/>
    <w:rsid w:val="005E7E2A"/>
    <w:rsid w:val="005F0174"/>
    <w:rsid w:val="005F0255"/>
    <w:rsid w:val="005F0999"/>
    <w:rsid w:val="005F0B09"/>
    <w:rsid w:val="005F0DBB"/>
    <w:rsid w:val="005F0E52"/>
    <w:rsid w:val="005F18A7"/>
    <w:rsid w:val="005F18C4"/>
    <w:rsid w:val="005F1DAA"/>
    <w:rsid w:val="005F2060"/>
    <w:rsid w:val="005F2456"/>
    <w:rsid w:val="005F24BB"/>
    <w:rsid w:val="005F262D"/>
    <w:rsid w:val="005F26AC"/>
    <w:rsid w:val="005F2CE2"/>
    <w:rsid w:val="005F2F69"/>
    <w:rsid w:val="005F304B"/>
    <w:rsid w:val="005F304F"/>
    <w:rsid w:val="005F3077"/>
    <w:rsid w:val="005F33C5"/>
    <w:rsid w:val="005F3564"/>
    <w:rsid w:val="005F36E9"/>
    <w:rsid w:val="005F38B9"/>
    <w:rsid w:val="005F4AC1"/>
    <w:rsid w:val="005F5078"/>
    <w:rsid w:val="005F52C5"/>
    <w:rsid w:val="005F52ED"/>
    <w:rsid w:val="005F5339"/>
    <w:rsid w:val="005F53A3"/>
    <w:rsid w:val="005F5885"/>
    <w:rsid w:val="005F5C95"/>
    <w:rsid w:val="005F6332"/>
    <w:rsid w:val="005F6475"/>
    <w:rsid w:val="005F6760"/>
    <w:rsid w:val="005F68C0"/>
    <w:rsid w:val="005F727C"/>
    <w:rsid w:val="005F72E4"/>
    <w:rsid w:val="005F7488"/>
    <w:rsid w:val="005F753B"/>
    <w:rsid w:val="005F76CF"/>
    <w:rsid w:val="005F7885"/>
    <w:rsid w:val="005F78ED"/>
    <w:rsid w:val="005F7D1A"/>
    <w:rsid w:val="005F7E6A"/>
    <w:rsid w:val="00600662"/>
    <w:rsid w:val="00600B16"/>
    <w:rsid w:val="00600EC8"/>
    <w:rsid w:val="006014F1"/>
    <w:rsid w:val="00601CFF"/>
    <w:rsid w:val="00601E00"/>
    <w:rsid w:val="00602133"/>
    <w:rsid w:val="006022C1"/>
    <w:rsid w:val="006023DA"/>
    <w:rsid w:val="006024D6"/>
    <w:rsid w:val="0060251B"/>
    <w:rsid w:val="0060261A"/>
    <w:rsid w:val="00602690"/>
    <w:rsid w:val="0060278F"/>
    <w:rsid w:val="00602BB9"/>
    <w:rsid w:val="00602E88"/>
    <w:rsid w:val="00603008"/>
    <w:rsid w:val="006036B1"/>
    <w:rsid w:val="00603E7E"/>
    <w:rsid w:val="00603F75"/>
    <w:rsid w:val="00604477"/>
    <w:rsid w:val="006049BD"/>
    <w:rsid w:val="00604B26"/>
    <w:rsid w:val="00604C5B"/>
    <w:rsid w:val="00604E58"/>
    <w:rsid w:val="00605069"/>
    <w:rsid w:val="006051D5"/>
    <w:rsid w:val="006054E8"/>
    <w:rsid w:val="00605516"/>
    <w:rsid w:val="00605685"/>
    <w:rsid w:val="006058F8"/>
    <w:rsid w:val="006059AF"/>
    <w:rsid w:val="006059E6"/>
    <w:rsid w:val="00605D3D"/>
    <w:rsid w:val="006064F9"/>
    <w:rsid w:val="0060694B"/>
    <w:rsid w:val="00606B52"/>
    <w:rsid w:val="00606EF0"/>
    <w:rsid w:val="00606F01"/>
    <w:rsid w:val="00607104"/>
    <w:rsid w:val="006071E9"/>
    <w:rsid w:val="00607248"/>
    <w:rsid w:val="00607A62"/>
    <w:rsid w:val="00607B34"/>
    <w:rsid w:val="006101E9"/>
    <w:rsid w:val="00610505"/>
    <w:rsid w:val="00610775"/>
    <w:rsid w:val="00610A94"/>
    <w:rsid w:val="00610AF0"/>
    <w:rsid w:val="00611506"/>
    <w:rsid w:val="006116A1"/>
    <w:rsid w:val="006116B6"/>
    <w:rsid w:val="00611717"/>
    <w:rsid w:val="0061204D"/>
    <w:rsid w:val="006121BA"/>
    <w:rsid w:val="006129A4"/>
    <w:rsid w:val="00612DA5"/>
    <w:rsid w:val="00612ED4"/>
    <w:rsid w:val="00612F32"/>
    <w:rsid w:val="00612FB4"/>
    <w:rsid w:val="0061302A"/>
    <w:rsid w:val="0061322A"/>
    <w:rsid w:val="006138FA"/>
    <w:rsid w:val="00613C2F"/>
    <w:rsid w:val="00613E0C"/>
    <w:rsid w:val="0061408C"/>
    <w:rsid w:val="00614250"/>
    <w:rsid w:val="00614319"/>
    <w:rsid w:val="0061455C"/>
    <w:rsid w:val="00614989"/>
    <w:rsid w:val="0061558B"/>
    <w:rsid w:val="00615ABF"/>
    <w:rsid w:val="00615DF6"/>
    <w:rsid w:val="00616378"/>
    <w:rsid w:val="0061670E"/>
    <w:rsid w:val="0061681C"/>
    <w:rsid w:val="00616C69"/>
    <w:rsid w:val="00616F17"/>
    <w:rsid w:val="006172A1"/>
    <w:rsid w:val="0061763F"/>
    <w:rsid w:val="00617728"/>
    <w:rsid w:val="00617A0A"/>
    <w:rsid w:val="00617A14"/>
    <w:rsid w:val="00620152"/>
    <w:rsid w:val="006203F1"/>
    <w:rsid w:val="00620534"/>
    <w:rsid w:val="0062073E"/>
    <w:rsid w:val="00620D7C"/>
    <w:rsid w:val="006212F1"/>
    <w:rsid w:val="00621430"/>
    <w:rsid w:val="00621598"/>
    <w:rsid w:val="00621700"/>
    <w:rsid w:val="00621B37"/>
    <w:rsid w:val="0062239F"/>
    <w:rsid w:val="00622438"/>
    <w:rsid w:val="006224D4"/>
    <w:rsid w:val="00622F2F"/>
    <w:rsid w:val="00623083"/>
    <w:rsid w:val="00623490"/>
    <w:rsid w:val="006234E6"/>
    <w:rsid w:val="0062354F"/>
    <w:rsid w:val="006235D4"/>
    <w:rsid w:val="006236FA"/>
    <w:rsid w:val="00623DEB"/>
    <w:rsid w:val="0062420A"/>
    <w:rsid w:val="0062432F"/>
    <w:rsid w:val="00624B4C"/>
    <w:rsid w:val="00625093"/>
    <w:rsid w:val="00625248"/>
    <w:rsid w:val="00625312"/>
    <w:rsid w:val="0062553B"/>
    <w:rsid w:val="006256F5"/>
    <w:rsid w:val="00625C27"/>
    <w:rsid w:val="00625FC3"/>
    <w:rsid w:val="00625FE7"/>
    <w:rsid w:val="0062640E"/>
    <w:rsid w:val="00626563"/>
    <w:rsid w:val="0062683F"/>
    <w:rsid w:val="0062684E"/>
    <w:rsid w:val="00626C41"/>
    <w:rsid w:val="00626C66"/>
    <w:rsid w:val="006270BF"/>
    <w:rsid w:val="0062744B"/>
    <w:rsid w:val="00627564"/>
    <w:rsid w:val="00627610"/>
    <w:rsid w:val="00627698"/>
    <w:rsid w:val="00627AF6"/>
    <w:rsid w:val="00627DBD"/>
    <w:rsid w:val="00627FF2"/>
    <w:rsid w:val="006301A5"/>
    <w:rsid w:val="006305A4"/>
    <w:rsid w:val="006305E4"/>
    <w:rsid w:val="00630825"/>
    <w:rsid w:val="00630865"/>
    <w:rsid w:val="00630B2C"/>
    <w:rsid w:val="00630EDC"/>
    <w:rsid w:val="00630F0A"/>
    <w:rsid w:val="00630F7C"/>
    <w:rsid w:val="00630FCE"/>
    <w:rsid w:val="00631336"/>
    <w:rsid w:val="00631575"/>
    <w:rsid w:val="006320F0"/>
    <w:rsid w:val="006321C7"/>
    <w:rsid w:val="00632561"/>
    <w:rsid w:val="006325C2"/>
    <w:rsid w:val="0063272F"/>
    <w:rsid w:val="00632820"/>
    <w:rsid w:val="0063286B"/>
    <w:rsid w:val="00632DDC"/>
    <w:rsid w:val="00632DEC"/>
    <w:rsid w:val="00632ECC"/>
    <w:rsid w:val="00633213"/>
    <w:rsid w:val="00633C03"/>
    <w:rsid w:val="00633C5E"/>
    <w:rsid w:val="00633FF2"/>
    <w:rsid w:val="006341BC"/>
    <w:rsid w:val="006343D1"/>
    <w:rsid w:val="006343EA"/>
    <w:rsid w:val="0063467F"/>
    <w:rsid w:val="00634D6C"/>
    <w:rsid w:val="00634DA0"/>
    <w:rsid w:val="00634DBB"/>
    <w:rsid w:val="006353E8"/>
    <w:rsid w:val="006354B3"/>
    <w:rsid w:val="00635512"/>
    <w:rsid w:val="0063563A"/>
    <w:rsid w:val="00635659"/>
    <w:rsid w:val="006358F3"/>
    <w:rsid w:val="00635B4F"/>
    <w:rsid w:val="00635F2A"/>
    <w:rsid w:val="00635F71"/>
    <w:rsid w:val="006360AF"/>
    <w:rsid w:val="00636575"/>
    <w:rsid w:val="00636BE8"/>
    <w:rsid w:val="00637250"/>
    <w:rsid w:val="0063733C"/>
    <w:rsid w:val="00637653"/>
    <w:rsid w:val="00637984"/>
    <w:rsid w:val="00637FCD"/>
    <w:rsid w:val="00640017"/>
    <w:rsid w:val="00640893"/>
    <w:rsid w:val="0064095E"/>
    <w:rsid w:val="00640A32"/>
    <w:rsid w:val="00640B33"/>
    <w:rsid w:val="00640E7D"/>
    <w:rsid w:val="006412AD"/>
    <w:rsid w:val="00641B1A"/>
    <w:rsid w:val="00642146"/>
    <w:rsid w:val="0064227D"/>
    <w:rsid w:val="0064233A"/>
    <w:rsid w:val="006425A1"/>
    <w:rsid w:val="006425A7"/>
    <w:rsid w:val="00642C43"/>
    <w:rsid w:val="00642D9A"/>
    <w:rsid w:val="006430DB"/>
    <w:rsid w:val="0064319C"/>
    <w:rsid w:val="006431C6"/>
    <w:rsid w:val="0064359F"/>
    <w:rsid w:val="006436F3"/>
    <w:rsid w:val="006437A9"/>
    <w:rsid w:val="0064385D"/>
    <w:rsid w:val="00643BF6"/>
    <w:rsid w:val="00643ED1"/>
    <w:rsid w:val="00643FD0"/>
    <w:rsid w:val="0064411A"/>
    <w:rsid w:val="0064414F"/>
    <w:rsid w:val="006445BB"/>
    <w:rsid w:val="0064462B"/>
    <w:rsid w:val="0064485A"/>
    <w:rsid w:val="006448BB"/>
    <w:rsid w:val="0064491E"/>
    <w:rsid w:val="0064525D"/>
    <w:rsid w:val="00645D39"/>
    <w:rsid w:val="006461A9"/>
    <w:rsid w:val="0064620B"/>
    <w:rsid w:val="00646959"/>
    <w:rsid w:val="006469BB"/>
    <w:rsid w:val="006469E1"/>
    <w:rsid w:val="00646A43"/>
    <w:rsid w:val="00646A87"/>
    <w:rsid w:val="00646B39"/>
    <w:rsid w:val="00646D1F"/>
    <w:rsid w:val="00646DEB"/>
    <w:rsid w:val="00646EC7"/>
    <w:rsid w:val="00647767"/>
    <w:rsid w:val="0064785A"/>
    <w:rsid w:val="00647F17"/>
    <w:rsid w:val="006502C3"/>
    <w:rsid w:val="006503A0"/>
    <w:rsid w:val="006504A4"/>
    <w:rsid w:val="006507C3"/>
    <w:rsid w:val="00650B38"/>
    <w:rsid w:val="00651306"/>
    <w:rsid w:val="006516B3"/>
    <w:rsid w:val="00651DCB"/>
    <w:rsid w:val="00652175"/>
    <w:rsid w:val="00652194"/>
    <w:rsid w:val="00652383"/>
    <w:rsid w:val="00652698"/>
    <w:rsid w:val="006528D6"/>
    <w:rsid w:val="006533C9"/>
    <w:rsid w:val="00653435"/>
    <w:rsid w:val="00653CBF"/>
    <w:rsid w:val="00653E0C"/>
    <w:rsid w:val="00653EFC"/>
    <w:rsid w:val="006540EF"/>
    <w:rsid w:val="00654968"/>
    <w:rsid w:val="0065510E"/>
    <w:rsid w:val="00655128"/>
    <w:rsid w:val="006552AE"/>
    <w:rsid w:val="00655353"/>
    <w:rsid w:val="00655467"/>
    <w:rsid w:val="006554F5"/>
    <w:rsid w:val="0065581B"/>
    <w:rsid w:val="006558DD"/>
    <w:rsid w:val="00655906"/>
    <w:rsid w:val="00655D4E"/>
    <w:rsid w:val="00655ED2"/>
    <w:rsid w:val="006567C0"/>
    <w:rsid w:val="00656C41"/>
    <w:rsid w:val="00656D9C"/>
    <w:rsid w:val="00656D9D"/>
    <w:rsid w:val="00656EA7"/>
    <w:rsid w:val="006572B8"/>
    <w:rsid w:val="00657AFC"/>
    <w:rsid w:val="00657E99"/>
    <w:rsid w:val="00657F56"/>
    <w:rsid w:val="00660187"/>
    <w:rsid w:val="00660197"/>
    <w:rsid w:val="00660224"/>
    <w:rsid w:val="0066055C"/>
    <w:rsid w:val="00660680"/>
    <w:rsid w:val="00660723"/>
    <w:rsid w:val="00660801"/>
    <w:rsid w:val="00660853"/>
    <w:rsid w:val="00660996"/>
    <w:rsid w:val="00660A8B"/>
    <w:rsid w:val="00660C72"/>
    <w:rsid w:val="00661047"/>
    <w:rsid w:val="00661218"/>
    <w:rsid w:val="0066149B"/>
    <w:rsid w:val="00661B8C"/>
    <w:rsid w:val="00661C03"/>
    <w:rsid w:val="00661C6A"/>
    <w:rsid w:val="00661CCA"/>
    <w:rsid w:val="00661FD8"/>
    <w:rsid w:val="0066203C"/>
    <w:rsid w:val="00662909"/>
    <w:rsid w:val="006629F8"/>
    <w:rsid w:val="00662CD8"/>
    <w:rsid w:val="00663591"/>
    <w:rsid w:val="006638B9"/>
    <w:rsid w:val="00663A65"/>
    <w:rsid w:val="00663E19"/>
    <w:rsid w:val="006641B1"/>
    <w:rsid w:val="00664294"/>
    <w:rsid w:val="0066457F"/>
    <w:rsid w:val="006645BC"/>
    <w:rsid w:val="00664888"/>
    <w:rsid w:val="00664C2A"/>
    <w:rsid w:val="006651B8"/>
    <w:rsid w:val="006667CB"/>
    <w:rsid w:val="0066688C"/>
    <w:rsid w:val="00666EAA"/>
    <w:rsid w:val="00666F57"/>
    <w:rsid w:val="00666FC3"/>
    <w:rsid w:val="006675FD"/>
    <w:rsid w:val="006676FF"/>
    <w:rsid w:val="00667BA5"/>
    <w:rsid w:val="0067012A"/>
    <w:rsid w:val="00670260"/>
    <w:rsid w:val="0067053D"/>
    <w:rsid w:val="00670737"/>
    <w:rsid w:val="0067079E"/>
    <w:rsid w:val="00670903"/>
    <w:rsid w:val="006710B7"/>
    <w:rsid w:val="00671101"/>
    <w:rsid w:val="006717EF"/>
    <w:rsid w:val="00671CE6"/>
    <w:rsid w:val="00671E3C"/>
    <w:rsid w:val="00671F87"/>
    <w:rsid w:val="006720B8"/>
    <w:rsid w:val="0067217C"/>
    <w:rsid w:val="0067219E"/>
    <w:rsid w:val="0067269A"/>
    <w:rsid w:val="00672724"/>
    <w:rsid w:val="00672868"/>
    <w:rsid w:val="006728C2"/>
    <w:rsid w:val="006729AA"/>
    <w:rsid w:val="00672A53"/>
    <w:rsid w:val="00672B0D"/>
    <w:rsid w:val="00672BC1"/>
    <w:rsid w:val="00672BDA"/>
    <w:rsid w:val="00672E03"/>
    <w:rsid w:val="0067347D"/>
    <w:rsid w:val="0067351F"/>
    <w:rsid w:val="00673A81"/>
    <w:rsid w:val="00673B35"/>
    <w:rsid w:val="00673BD1"/>
    <w:rsid w:val="00673EFA"/>
    <w:rsid w:val="00674045"/>
    <w:rsid w:val="006742DE"/>
    <w:rsid w:val="00674325"/>
    <w:rsid w:val="006745BA"/>
    <w:rsid w:val="0067466F"/>
    <w:rsid w:val="00674C86"/>
    <w:rsid w:val="00674D80"/>
    <w:rsid w:val="00674F17"/>
    <w:rsid w:val="0067599C"/>
    <w:rsid w:val="00675C1A"/>
    <w:rsid w:val="00675E3C"/>
    <w:rsid w:val="00675EF5"/>
    <w:rsid w:val="00675F60"/>
    <w:rsid w:val="00676712"/>
    <w:rsid w:val="00676851"/>
    <w:rsid w:val="0067685B"/>
    <w:rsid w:val="00676E32"/>
    <w:rsid w:val="00676E7C"/>
    <w:rsid w:val="00676F82"/>
    <w:rsid w:val="00677456"/>
    <w:rsid w:val="0067748E"/>
    <w:rsid w:val="006776BA"/>
    <w:rsid w:val="00677901"/>
    <w:rsid w:val="00677E85"/>
    <w:rsid w:val="00680620"/>
    <w:rsid w:val="00680AD9"/>
    <w:rsid w:val="00680C11"/>
    <w:rsid w:val="00680C83"/>
    <w:rsid w:val="00680F19"/>
    <w:rsid w:val="00680FC3"/>
    <w:rsid w:val="00680FDA"/>
    <w:rsid w:val="00681796"/>
    <w:rsid w:val="0068189E"/>
    <w:rsid w:val="006820B2"/>
    <w:rsid w:val="0068210B"/>
    <w:rsid w:val="0068246F"/>
    <w:rsid w:val="00682928"/>
    <w:rsid w:val="00682F5E"/>
    <w:rsid w:val="0068323A"/>
    <w:rsid w:val="00683711"/>
    <w:rsid w:val="00683BB5"/>
    <w:rsid w:val="00683DBF"/>
    <w:rsid w:val="0068416D"/>
    <w:rsid w:val="006844F5"/>
    <w:rsid w:val="00684A11"/>
    <w:rsid w:val="00685161"/>
    <w:rsid w:val="006852D9"/>
    <w:rsid w:val="00685639"/>
    <w:rsid w:val="006858DF"/>
    <w:rsid w:val="00685D0B"/>
    <w:rsid w:val="00685FE4"/>
    <w:rsid w:val="00686013"/>
    <w:rsid w:val="00686353"/>
    <w:rsid w:val="00686403"/>
    <w:rsid w:val="00686581"/>
    <w:rsid w:val="00686691"/>
    <w:rsid w:val="00686CF5"/>
    <w:rsid w:val="00686D79"/>
    <w:rsid w:val="00686DBC"/>
    <w:rsid w:val="0068717E"/>
    <w:rsid w:val="00687440"/>
    <w:rsid w:val="00687664"/>
    <w:rsid w:val="0068767A"/>
    <w:rsid w:val="00687781"/>
    <w:rsid w:val="0068779E"/>
    <w:rsid w:val="00687C03"/>
    <w:rsid w:val="00687DBB"/>
    <w:rsid w:val="0069030F"/>
    <w:rsid w:val="006904DD"/>
    <w:rsid w:val="006906F2"/>
    <w:rsid w:val="006908E7"/>
    <w:rsid w:val="00690A3B"/>
    <w:rsid w:val="00691B00"/>
    <w:rsid w:val="00692152"/>
    <w:rsid w:val="006922F4"/>
    <w:rsid w:val="00692402"/>
    <w:rsid w:val="0069298D"/>
    <w:rsid w:val="00692C1D"/>
    <w:rsid w:val="00692C4C"/>
    <w:rsid w:val="00692DCF"/>
    <w:rsid w:val="00692E90"/>
    <w:rsid w:val="0069323B"/>
    <w:rsid w:val="006932EF"/>
    <w:rsid w:val="006934F9"/>
    <w:rsid w:val="0069381E"/>
    <w:rsid w:val="00693E24"/>
    <w:rsid w:val="00693F08"/>
    <w:rsid w:val="006943CC"/>
    <w:rsid w:val="006945C4"/>
    <w:rsid w:val="0069486F"/>
    <w:rsid w:val="00694B01"/>
    <w:rsid w:val="00694B73"/>
    <w:rsid w:val="0069525C"/>
    <w:rsid w:val="006955D8"/>
    <w:rsid w:val="00695685"/>
    <w:rsid w:val="006958BB"/>
    <w:rsid w:val="00695AB9"/>
    <w:rsid w:val="00695F03"/>
    <w:rsid w:val="00696732"/>
    <w:rsid w:val="00696767"/>
    <w:rsid w:val="0069678C"/>
    <w:rsid w:val="00696A50"/>
    <w:rsid w:val="00696DE6"/>
    <w:rsid w:val="00697E0C"/>
    <w:rsid w:val="006A0605"/>
    <w:rsid w:val="006A12F2"/>
    <w:rsid w:val="006A14C6"/>
    <w:rsid w:val="006A163E"/>
    <w:rsid w:val="006A1744"/>
    <w:rsid w:val="006A190B"/>
    <w:rsid w:val="006A1B89"/>
    <w:rsid w:val="006A1D92"/>
    <w:rsid w:val="006A1F9D"/>
    <w:rsid w:val="006A204A"/>
    <w:rsid w:val="006A2114"/>
    <w:rsid w:val="006A27D2"/>
    <w:rsid w:val="006A2A2B"/>
    <w:rsid w:val="006A2A7E"/>
    <w:rsid w:val="006A2C8B"/>
    <w:rsid w:val="006A2EDB"/>
    <w:rsid w:val="006A308B"/>
    <w:rsid w:val="006A313F"/>
    <w:rsid w:val="006A3521"/>
    <w:rsid w:val="006A35EC"/>
    <w:rsid w:val="006A3999"/>
    <w:rsid w:val="006A3BB2"/>
    <w:rsid w:val="006A3D73"/>
    <w:rsid w:val="006A4075"/>
    <w:rsid w:val="006A4381"/>
    <w:rsid w:val="006A45C2"/>
    <w:rsid w:val="006A4705"/>
    <w:rsid w:val="006A4C73"/>
    <w:rsid w:val="006A4E4D"/>
    <w:rsid w:val="006A578C"/>
    <w:rsid w:val="006A5AD4"/>
    <w:rsid w:val="006A639F"/>
    <w:rsid w:val="006A63D1"/>
    <w:rsid w:val="006A66C9"/>
    <w:rsid w:val="006A6966"/>
    <w:rsid w:val="006A6BA5"/>
    <w:rsid w:val="006A6F35"/>
    <w:rsid w:val="006A758E"/>
    <w:rsid w:val="006A785A"/>
    <w:rsid w:val="006A79D7"/>
    <w:rsid w:val="006A7E57"/>
    <w:rsid w:val="006B02B4"/>
    <w:rsid w:val="006B0405"/>
    <w:rsid w:val="006B0581"/>
    <w:rsid w:val="006B0E65"/>
    <w:rsid w:val="006B1138"/>
    <w:rsid w:val="006B1194"/>
    <w:rsid w:val="006B12E6"/>
    <w:rsid w:val="006B1A80"/>
    <w:rsid w:val="006B1AB1"/>
    <w:rsid w:val="006B1CD0"/>
    <w:rsid w:val="006B1F53"/>
    <w:rsid w:val="006B2189"/>
    <w:rsid w:val="006B266C"/>
    <w:rsid w:val="006B26FC"/>
    <w:rsid w:val="006B2F71"/>
    <w:rsid w:val="006B3580"/>
    <w:rsid w:val="006B35D1"/>
    <w:rsid w:val="006B3A02"/>
    <w:rsid w:val="006B3B77"/>
    <w:rsid w:val="006B3E5E"/>
    <w:rsid w:val="006B3FE9"/>
    <w:rsid w:val="006B44E2"/>
    <w:rsid w:val="006B4A97"/>
    <w:rsid w:val="006B4AA8"/>
    <w:rsid w:val="006B4D4B"/>
    <w:rsid w:val="006B51F7"/>
    <w:rsid w:val="006B5662"/>
    <w:rsid w:val="006B566B"/>
    <w:rsid w:val="006B572F"/>
    <w:rsid w:val="006B57D9"/>
    <w:rsid w:val="006B581C"/>
    <w:rsid w:val="006B5860"/>
    <w:rsid w:val="006B5A2B"/>
    <w:rsid w:val="006B5D65"/>
    <w:rsid w:val="006B6143"/>
    <w:rsid w:val="006B62CA"/>
    <w:rsid w:val="006B6382"/>
    <w:rsid w:val="006B6AAB"/>
    <w:rsid w:val="006B6DFB"/>
    <w:rsid w:val="006B72C9"/>
    <w:rsid w:val="006B792D"/>
    <w:rsid w:val="006B7AD3"/>
    <w:rsid w:val="006B7C80"/>
    <w:rsid w:val="006B7CA4"/>
    <w:rsid w:val="006B7EB3"/>
    <w:rsid w:val="006B7FA8"/>
    <w:rsid w:val="006C024A"/>
    <w:rsid w:val="006C04D5"/>
    <w:rsid w:val="006C052C"/>
    <w:rsid w:val="006C096E"/>
    <w:rsid w:val="006C145B"/>
    <w:rsid w:val="006C175C"/>
    <w:rsid w:val="006C1B6C"/>
    <w:rsid w:val="006C1D8D"/>
    <w:rsid w:val="006C1DBE"/>
    <w:rsid w:val="006C2578"/>
    <w:rsid w:val="006C2648"/>
    <w:rsid w:val="006C2828"/>
    <w:rsid w:val="006C29C1"/>
    <w:rsid w:val="006C302B"/>
    <w:rsid w:val="006C362F"/>
    <w:rsid w:val="006C368A"/>
    <w:rsid w:val="006C378D"/>
    <w:rsid w:val="006C3840"/>
    <w:rsid w:val="006C3AA5"/>
    <w:rsid w:val="006C4181"/>
    <w:rsid w:val="006C44FE"/>
    <w:rsid w:val="006C4C8A"/>
    <w:rsid w:val="006C4E5D"/>
    <w:rsid w:val="006C4E5E"/>
    <w:rsid w:val="006C50D3"/>
    <w:rsid w:val="006C55A1"/>
    <w:rsid w:val="006C5722"/>
    <w:rsid w:val="006C5879"/>
    <w:rsid w:val="006C594B"/>
    <w:rsid w:val="006C60F6"/>
    <w:rsid w:val="006C6716"/>
    <w:rsid w:val="006C6795"/>
    <w:rsid w:val="006C68A8"/>
    <w:rsid w:val="006C68B8"/>
    <w:rsid w:val="006C68D7"/>
    <w:rsid w:val="006C69D8"/>
    <w:rsid w:val="006C6AC0"/>
    <w:rsid w:val="006C6E0F"/>
    <w:rsid w:val="006C717E"/>
    <w:rsid w:val="006C7856"/>
    <w:rsid w:val="006C7B4F"/>
    <w:rsid w:val="006C7D0A"/>
    <w:rsid w:val="006D0012"/>
    <w:rsid w:val="006D0691"/>
    <w:rsid w:val="006D0986"/>
    <w:rsid w:val="006D0B28"/>
    <w:rsid w:val="006D0E09"/>
    <w:rsid w:val="006D1026"/>
    <w:rsid w:val="006D1238"/>
    <w:rsid w:val="006D15A7"/>
    <w:rsid w:val="006D1C29"/>
    <w:rsid w:val="006D1E77"/>
    <w:rsid w:val="006D20A6"/>
    <w:rsid w:val="006D2850"/>
    <w:rsid w:val="006D2A51"/>
    <w:rsid w:val="006D2CD0"/>
    <w:rsid w:val="006D2D7C"/>
    <w:rsid w:val="006D3033"/>
    <w:rsid w:val="006D3065"/>
    <w:rsid w:val="006D381B"/>
    <w:rsid w:val="006D3DDF"/>
    <w:rsid w:val="006D456C"/>
    <w:rsid w:val="006D493D"/>
    <w:rsid w:val="006D506B"/>
    <w:rsid w:val="006D52C2"/>
    <w:rsid w:val="006D5476"/>
    <w:rsid w:val="006D5538"/>
    <w:rsid w:val="006D5544"/>
    <w:rsid w:val="006D5A62"/>
    <w:rsid w:val="006D5C58"/>
    <w:rsid w:val="006D6142"/>
    <w:rsid w:val="006D62AF"/>
    <w:rsid w:val="006D630F"/>
    <w:rsid w:val="006D6771"/>
    <w:rsid w:val="006D68AE"/>
    <w:rsid w:val="006D6AE0"/>
    <w:rsid w:val="006D6B81"/>
    <w:rsid w:val="006D6E42"/>
    <w:rsid w:val="006D7C65"/>
    <w:rsid w:val="006E030A"/>
    <w:rsid w:val="006E04C4"/>
    <w:rsid w:val="006E10CD"/>
    <w:rsid w:val="006E11C2"/>
    <w:rsid w:val="006E179A"/>
    <w:rsid w:val="006E1901"/>
    <w:rsid w:val="006E1925"/>
    <w:rsid w:val="006E1A66"/>
    <w:rsid w:val="006E1DB7"/>
    <w:rsid w:val="006E1E1C"/>
    <w:rsid w:val="006E2850"/>
    <w:rsid w:val="006E2A30"/>
    <w:rsid w:val="006E2C56"/>
    <w:rsid w:val="006E2ED2"/>
    <w:rsid w:val="006E2F88"/>
    <w:rsid w:val="006E3142"/>
    <w:rsid w:val="006E332E"/>
    <w:rsid w:val="006E3A18"/>
    <w:rsid w:val="006E3A43"/>
    <w:rsid w:val="006E41FB"/>
    <w:rsid w:val="006E4C61"/>
    <w:rsid w:val="006E4DC0"/>
    <w:rsid w:val="006E5541"/>
    <w:rsid w:val="006E587B"/>
    <w:rsid w:val="006E5A71"/>
    <w:rsid w:val="006E6169"/>
    <w:rsid w:val="006E64AE"/>
    <w:rsid w:val="006E65AA"/>
    <w:rsid w:val="006E6933"/>
    <w:rsid w:val="006E6A78"/>
    <w:rsid w:val="006E6C52"/>
    <w:rsid w:val="006E6CB1"/>
    <w:rsid w:val="006E6DE7"/>
    <w:rsid w:val="006E6E33"/>
    <w:rsid w:val="006E70BF"/>
    <w:rsid w:val="006E70DA"/>
    <w:rsid w:val="006E70E8"/>
    <w:rsid w:val="006E71CC"/>
    <w:rsid w:val="006E7326"/>
    <w:rsid w:val="006E74C5"/>
    <w:rsid w:val="006E7BEB"/>
    <w:rsid w:val="006E7C9A"/>
    <w:rsid w:val="006E7D41"/>
    <w:rsid w:val="006E7D68"/>
    <w:rsid w:val="006E7FE2"/>
    <w:rsid w:val="006F05BD"/>
    <w:rsid w:val="006F0651"/>
    <w:rsid w:val="006F0AF4"/>
    <w:rsid w:val="006F0F6E"/>
    <w:rsid w:val="006F12A6"/>
    <w:rsid w:val="006F137B"/>
    <w:rsid w:val="006F1C1D"/>
    <w:rsid w:val="006F1F40"/>
    <w:rsid w:val="006F1F7C"/>
    <w:rsid w:val="006F21C9"/>
    <w:rsid w:val="006F2269"/>
    <w:rsid w:val="006F2647"/>
    <w:rsid w:val="006F26ED"/>
    <w:rsid w:val="006F2813"/>
    <w:rsid w:val="006F288E"/>
    <w:rsid w:val="006F2C9B"/>
    <w:rsid w:val="006F2E3D"/>
    <w:rsid w:val="006F2F63"/>
    <w:rsid w:val="006F30D7"/>
    <w:rsid w:val="006F3AA4"/>
    <w:rsid w:val="006F3B8A"/>
    <w:rsid w:val="006F3C62"/>
    <w:rsid w:val="006F3D3E"/>
    <w:rsid w:val="006F3D81"/>
    <w:rsid w:val="006F3EAE"/>
    <w:rsid w:val="006F40CE"/>
    <w:rsid w:val="006F41D6"/>
    <w:rsid w:val="006F4266"/>
    <w:rsid w:val="006F432F"/>
    <w:rsid w:val="006F44ED"/>
    <w:rsid w:val="006F491B"/>
    <w:rsid w:val="006F4DE9"/>
    <w:rsid w:val="006F5237"/>
    <w:rsid w:val="006F5982"/>
    <w:rsid w:val="006F5C15"/>
    <w:rsid w:val="006F5E18"/>
    <w:rsid w:val="006F614B"/>
    <w:rsid w:val="006F622F"/>
    <w:rsid w:val="006F673F"/>
    <w:rsid w:val="006F686E"/>
    <w:rsid w:val="006F6988"/>
    <w:rsid w:val="006F6B89"/>
    <w:rsid w:val="006F6C0E"/>
    <w:rsid w:val="006F6CD4"/>
    <w:rsid w:val="006F6D31"/>
    <w:rsid w:val="006F73FA"/>
    <w:rsid w:val="006F7755"/>
    <w:rsid w:val="006F7B54"/>
    <w:rsid w:val="006F7B73"/>
    <w:rsid w:val="006F7D6D"/>
    <w:rsid w:val="007000B4"/>
    <w:rsid w:val="0070029A"/>
    <w:rsid w:val="00700857"/>
    <w:rsid w:val="00700923"/>
    <w:rsid w:val="00700967"/>
    <w:rsid w:val="007009AD"/>
    <w:rsid w:val="007009B3"/>
    <w:rsid w:val="00700DA0"/>
    <w:rsid w:val="007012D0"/>
    <w:rsid w:val="00701373"/>
    <w:rsid w:val="00701436"/>
    <w:rsid w:val="007015A9"/>
    <w:rsid w:val="007016F5"/>
    <w:rsid w:val="00701BA5"/>
    <w:rsid w:val="00701D12"/>
    <w:rsid w:val="00702289"/>
    <w:rsid w:val="007023C4"/>
    <w:rsid w:val="0070254B"/>
    <w:rsid w:val="00702C89"/>
    <w:rsid w:val="0070306D"/>
    <w:rsid w:val="00703237"/>
    <w:rsid w:val="007034CE"/>
    <w:rsid w:val="00703624"/>
    <w:rsid w:val="0070378B"/>
    <w:rsid w:val="00703859"/>
    <w:rsid w:val="0070398B"/>
    <w:rsid w:val="00703B0F"/>
    <w:rsid w:val="00703CA1"/>
    <w:rsid w:val="00703D09"/>
    <w:rsid w:val="00704424"/>
    <w:rsid w:val="00704521"/>
    <w:rsid w:val="0070457A"/>
    <w:rsid w:val="00704D16"/>
    <w:rsid w:val="00704D4F"/>
    <w:rsid w:val="00705342"/>
    <w:rsid w:val="00705531"/>
    <w:rsid w:val="0070562A"/>
    <w:rsid w:val="00705670"/>
    <w:rsid w:val="007056C2"/>
    <w:rsid w:val="007058BA"/>
    <w:rsid w:val="00705A42"/>
    <w:rsid w:val="00705B16"/>
    <w:rsid w:val="00706262"/>
    <w:rsid w:val="007064BB"/>
    <w:rsid w:val="00706EA0"/>
    <w:rsid w:val="007070AC"/>
    <w:rsid w:val="00707424"/>
    <w:rsid w:val="00707620"/>
    <w:rsid w:val="00707890"/>
    <w:rsid w:val="00707893"/>
    <w:rsid w:val="00707B5D"/>
    <w:rsid w:val="00707E16"/>
    <w:rsid w:val="00707EF1"/>
    <w:rsid w:val="00707F0F"/>
    <w:rsid w:val="0071020C"/>
    <w:rsid w:val="007102E9"/>
    <w:rsid w:val="00710429"/>
    <w:rsid w:val="00711120"/>
    <w:rsid w:val="00711714"/>
    <w:rsid w:val="007118F8"/>
    <w:rsid w:val="00711DEC"/>
    <w:rsid w:val="00711F65"/>
    <w:rsid w:val="0071211B"/>
    <w:rsid w:val="00712175"/>
    <w:rsid w:val="00712624"/>
    <w:rsid w:val="00712790"/>
    <w:rsid w:val="007129A4"/>
    <w:rsid w:val="00712C04"/>
    <w:rsid w:val="0071305E"/>
    <w:rsid w:val="007135BD"/>
    <w:rsid w:val="00713AB9"/>
    <w:rsid w:val="00713EE6"/>
    <w:rsid w:val="0071429A"/>
    <w:rsid w:val="0071439C"/>
    <w:rsid w:val="0071476D"/>
    <w:rsid w:val="007147FC"/>
    <w:rsid w:val="00715329"/>
    <w:rsid w:val="00715336"/>
    <w:rsid w:val="007155E3"/>
    <w:rsid w:val="00715921"/>
    <w:rsid w:val="00715B06"/>
    <w:rsid w:val="00715B73"/>
    <w:rsid w:val="00715E83"/>
    <w:rsid w:val="007160EE"/>
    <w:rsid w:val="0071626B"/>
    <w:rsid w:val="0071694D"/>
    <w:rsid w:val="00717194"/>
    <w:rsid w:val="007171BC"/>
    <w:rsid w:val="007176CD"/>
    <w:rsid w:val="00717A65"/>
    <w:rsid w:val="00720032"/>
    <w:rsid w:val="00720240"/>
    <w:rsid w:val="00720B6C"/>
    <w:rsid w:val="00720D58"/>
    <w:rsid w:val="00720F7C"/>
    <w:rsid w:val="00721032"/>
    <w:rsid w:val="007211D7"/>
    <w:rsid w:val="00721619"/>
    <w:rsid w:val="00721953"/>
    <w:rsid w:val="00721ACD"/>
    <w:rsid w:val="00721C7A"/>
    <w:rsid w:val="00721D0F"/>
    <w:rsid w:val="007224C9"/>
    <w:rsid w:val="00722B12"/>
    <w:rsid w:val="00722B3D"/>
    <w:rsid w:val="00722B53"/>
    <w:rsid w:val="00722F5B"/>
    <w:rsid w:val="007230E3"/>
    <w:rsid w:val="00723272"/>
    <w:rsid w:val="007232EC"/>
    <w:rsid w:val="00723355"/>
    <w:rsid w:val="0072340F"/>
    <w:rsid w:val="00723559"/>
    <w:rsid w:val="007238F9"/>
    <w:rsid w:val="007239A5"/>
    <w:rsid w:val="00723C46"/>
    <w:rsid w:val="007242E3"/>
    <w:rsid w:val="00724349"/>
    <w:rsid w:val="007243F1"/>
    <w:rsid w:val="007246B7"/>
    <w:rsid w:val="00724B1C"/>
    <w:rsid w:val="0072595B"/>
    <w:rsid w:val="0072596B"/>
    <w:rsid w:val="00725E07"/>
    <w:rsid w:val="00726162"/>
    <w:rsid w:val="0072696F"/>
    <w:rsid w:val="007273CA"/>
    <w:rsid w:val="00727535"/>
    <w:rsid w:val="00727D65"/>
    <w:rsid w:val="00727F60"/>
    <w:rsid w:val="007302A5"/>
    <w:rsid w:val="00730AA6"/>
    <w:rsid w:val="00730B2D"/>
    <w:rsid w:val="00730E86"/>
    <w:rsid w:val="007312B1"/>
    <w:rsid w:val="00731B46"/>
    <w:rsid w:val="007324B9"/>
    <w:rsid w:val="00732997"/>
    <w:rsid w:val="00732A39"/>
    <w:rsid w:val="00732BBE"/>
    <w:rsid w:val="00733394"/>
    <w:rsid w:val="00733AF5"/>
    <w:rsid w:val="00733C2F"/>
    <w:rsid w:val="00733FDD"/>
    <w:rsid w:val="00734687"/>
    <w:rsid w:val="00734816"/>
    <w:rsid w:val="007348DC"/>
    <w:rsid w:val="00735068"/>
    <w:rsid w:val="007358DE"/>
    <w:rsid w:val="00735921"/>
    <w:rsid w:val="007359A9"/>
    <w:rsid w:val="00735E8E"/>
    <w:rsid w:val="00736187"/>
    <w:rsid w:val="00736928"/>
    <w:rsid w:val="00736939"/>
    <w:rsid w:val="00736B3E"/>
    <w:rsid w:val="00736BAE"/>
    <w:rsid w:val="00736CDE"/>
    <w:rsid w:val="007371B2"/>
    <w:rsid w:val="007372F0"/>
    <w:rsid w:val="00737699"/>
    <w:rsid w:val="0073772B"/>
    <w:rsid w:val="00737B6D"/>
    <w:rsid w:val="00737E19"/>
    <w:rsid w:val="00737FDA"/>
    <w:rsid w:val="007402E1"/>
    <w:rsid w:val="007406F1"/>
    <w:rsid w:val="00740FE1"/>
    <w:rsid w:val="00741367"/>
    <w:rsid w:val="0074177E"/>
    <w:rsid w:val="00741A88"/>
    <w:rsid w:val="00741E92"/>
    <w:rsid w:val="007420DA"/>
    <w:rsid w:val="007424E9"/>
    <w:rsid w:val="00742C74"/>
    <w:rsid w:val="00742EA3"/>
    <w:rsid w:val="00742EE4"/>
    <w:rsid w:val="00742EE8"/>
    <w:rsid w:val="00742F41"/>
    <w:rsid w:val="00742FD1"/>
    <w:rsid w:val="007432E2"/>
    <w:rsid w:val="00743979"/>
    <w:rsid w:val="00743AA9"/>
    <w:rsid w:val="00743CD5"/>
    <w:rsid w:val="00743D41"/>
    <w:rsid w:val="007445A1"/>
    <w:rsid w:val="0074472D"/>
    <w:rsid w:val="007449A6"/>
    <w:rsid w:val="00744C3F"/>
    <w:rsid w:val="00744DD8"/>
    <w:rsid w:val="00745147"/>
    <w:rsid w:val="007452EC"/>
    <w:rsid w:val="007452F8"/>
    <w:rsid w:val="00745371"/>
    <w:rsid w:val="00745A2C"/>
    <w:rsid w:val="00746009"/>
    <w:rsid w:val="007465B0"/>
    <w:rsid w:val="007466EE"/>
    <w:rsid w:val="00746888"/>
    <w:rsid w:val="007469AC"/>
    <w:rsid w:val="00746B61"/>
    <w:rsid w:val="00746C43"/>
    <w:rsid w:val="00746D8E"/>
    <w:rsid w:val="00746E40"/>
    <w:rsid w:val="00746E4F"/>
    <w:rsid w:val="00747783"/>
    <w:rsid w:val="00747AD0"/>
    <w:rsid w:val="00747D79"/>
    <w:rsid w:val="00750010"/>
    <w:rsid w:val="007501AC"/>
    <w:rsid w:val="00750465"/>
    <w:rsid w:val="007505ED"/>
    <w:rsid w:val="0075094B"/>
    <w:rsid w:val="00750A45"/>
    <w:rsid w:val="00750B70"/>
    <w:rsid w:val="00750E94"/>
    <w:rsid w:val="00751062"/>
    <w:rsid w:val="0075112B"/>
    <w:rsid w:val="007511C6"/>
    <w:rsid w:val="007513A8"/>
    <w:rsid w:val="0075157B"/>
    <w:rsid w:val="00751774"/>
    <w:rsid w:val="00751F6D"/>
    <w:rsid w:val="00751FF7"/>
    <w:rsid w:val="00752106"/>
    <w:rsid w:val="007522F8"/>
    <w:rsid w:val="00752A53"/>
    <w:rsid w:val="00753136"/>
    <w:rsid w:val="00753805"/>
    <w:rsid w:val="007538D9"/>
    <w:rsid w:val="00754033"/>
    <w:rsid w:val="0075425E"/>
    <w:rsid w:val="00754948"/>
    <w:rsid w:val="00754B9B"/>
    <w:rsid w:val="00754E99"/>
    <w:rsid w:val="00755B2D"/>
    <w:rsid w:val="0075613F"/>
    <w:rsid w:val="0075623E"/>
    <w:rsid w:val="00756B36"/>
    <w:rsid w:val="00756CD5"/>
    <w:rsid w:val="00757557"/>
    <w:rsid w:val="00757829"/>
    <w:rsid w:val="00757A45"/>
    <w:rsid w:val="00757AB1"/>
    <w:rsid w:val="007602FD"/>
    <w:rsid w:val="00760884"/>
    <w:rsid w:val="00760920"/>
    <w:rsid w:val="00760979"/>
    <w:rsid w:val="00760A43"/>
    <w:rsid w:val="00760D82"/>
    <w:rsid w:val="00760E48"/>
    <w:rsid w:val="00760EA8"/>
    <w:rsid w:val="00761058"/>
    <w:rsid w:val="007614F0"/>
    <w:rsid w:val="00761634"/>
    <w:rsid w:val="00761A1E"/>
    <w:rsid w:val="00761B76"/>
    <w:rsid w:val="00762185"/>
    <w:rsid w:val="00762E37"/>
    <w:rsid w:val="00763131"/>
    <w:rsid w:val="007631FC"/>
    <w:rsid w:val="0076478C"/>
    <w:rsid w:val="00764B8D"/>
    <w:rsid w:val="00764C75"/>
    <w:rsid w:val="00764EB8"/>
    <w:rsid w:val="00765345"/>
    <w:rsid w:val="007653EC"/>
    <w:rsid w:val="0076575F"/>
    <w:rsid w:val="00765CBC"/>
    <w:rsid w:val="00765E99"/>
    <w:rsid w:val="00765F75"/>
    <w:rsid w:val="0076608E"/>
    <w:rsid w:val="007663D8"/>
    <w:rsid w:val="0076665B"/>
    <w:rsid w:val="007666F1"/>
    <w:rsid w:val="007669EB"/>
    <w:rsid w:val="00766A0C"/>
    <w:rsid w:val="00766A6F"/>
    <w:rsid w:val="00766D5B"/>
    <w:rsid w:val="00766F34"/>
    <w:rsid w:val="007671E1"/>
    <w:rsid w:val="00767288"/>
    <w:rsid w:val="0076743B"/>
    <w:rsid w:val="007679CE"/>
    <w:rsid w:val="00767F2B"/>
    <w:rsid w:val="007700BF"/>
    <w:rsid w:val="007705F9"/>
    <w:rsid w:val="0077096D"/>
    <w:rsid w:val="007709D7"/>
    <w:rsid w:val="00770A12"/>
    <w:rsid w:val="00770AFC"/>
    <w:rsid w:val="00770D11"/>
    <w:rsid w:val="007715E5"/>
    <w:rsid w:val="00771CA4"/>
    <w:rsid w:val="00771FDE"/>
    <w:rsid w:val="0077243E"/>
    <w:rsid w:val="0077267D"/>
    <w:rsid w:val="00772CFA"/>
    <w:rsid w:val="00772FAB"/>
    <w:rsid w:val="00772FBF"/>
    <w:rsid w:val="007732A5"/>
    <w:rsid w:val="00773506"/>
    <w:rsid w:val="007738C1"/>
    <w:rsid w:val="00773A4B"/>
    <w:rsid w:val="00773D50"/>
    <w:rsid w:val="00774056"/>
    <w:rsid w:val="007747B6"/>
    <w:rsid w:val="007748D3"/>
    <w:rsid w:val="00774C16"/>
    <w:rsid w:val="00774D9E"/>
    <w:rsid w:val="007750BB"/>
    <w:rsid w:val="0077523B"/>
    <w:rsid w:val="00775406"/>
    <w:rsid w:val="00775D7E"/>
    <w:rsid w:val="007762A9"/>
    <w:rsid w:val="00776A85"/>
    <w:rsid w:val="00776C8C"/>
    <w:rsid w:val="00776FAD"/>
    <w:rsid w:val="00777112"/>
    <w:rsid w:val="00777439"/>
    <w:rsid w:val="00777581"/>
    <w:rsid w:val="00777950"/>
    <w:rsid w:val="00780325"/>
    <w:rsid w:val="007808C2"/>
    <w:rsid w:val="00780E1E"/>
    <w:rsid w:val="00780F12"/>
    <w:rsid w:val="00781193"/>
    <w:rsid w:val="007812C8"/>
    <w:rsid w:val="007814E8"/>
    <w:rsid w:val="007817D4"/>
    <w:rsid w:val="00781ECB"/>
    <w:rsid w:val="00781F42"/>
    <w:rsid w:val="007820DC"/>
    <w:rsid w:val="007821E3"/>
    <w:rsid w:val="00782627"/>
    <w:rsid w:val="0078263A"/>
    <w:rsid w:val="00782AE4"/>
    <w:rsid w:val="00782CE3"/>
    <w:rsid w:val="00782E8A"/>
    <w:rsid w:val="007830AE"/>
    <w:rsid w:val="007833E1"/>
    <w:rsid w:val="0078346D"/>
    <w:rsid w:val="007836EC"/>
    <w:rsid w:val="007838F8"/>
    <w:rsid w:val="0078390F"/>
    <w:rsid w:val="00783A5B"/>
    <w:rsid w:val="00783CB7"/>
    <w:rsid w:val="00783D37"/>
    <w:rsid w:val="00783E91"/>
    <w:rsid w:val="0078416F"/>
    <w:rsid w:val="00784590"/>
    <w:rsid w:val="00784988"/>
    <w:rsid w:val="00784AB9"/>
    <w:rsid w:val="00785178"/>
    <w:rsid w:val="00785394"/>
    <w:rsid w:val="007857BC"/>
    <w:rsid w:val="00785977"/>
    <w:rsid w:val="00785E83"/>
    <w:rsid w:val="007863EF"/>
    <w:rsid w:val="007866AE"/>
    <w:rsid w:val="007866D1"/>
    <w:rsid w:val="007869E5"/>
    <w:rsid w:val="00786A4C"/>
    <w:rsid w:val="00786A77"/>
    <w:rsid w:val="00786C73"/>
    <w:rsid w:val="00786F42"/>
    <w:rsid w:val="00786F5C"/>
    <w:rsid w:val="00787033"/>
    <w:rsid w:val="00787122"/>
    <w:rsid w:val="007872CF"/>
    <w:rsid w:val="00787378"/>
    <w:rsid w:val="00787B0E"/>
    <w:rsid w:val="00787D5F"/>
    <w:rsid w:val="00787F36"/>
    <w:rsid w:val="0079024F"/>
    <w:rsid w:val="007904C7"/>
    <w:rsid w:val="00790A3B"/>
    <w:rsid w:val="00790B5F"/>
    <w:rsid w:val="00790C1E"/>
    <w:rsid w:val="00790E28"/>
    <w:rsid w:val="00790E2B"/>
    <w:rsid w:val="007912D7"/>
    <w:rsid w:val="00791396"/>
    <w:rsid w:val="007913DF"/>
    <w:rsid w:val="00791678"/>
    <w:rsid w:val="00791B51"/>
    <w:rsid w:val="00791FCF"/>
    <w:rsid w:val="007920D0"/>
    <w:rsid w:val="00792100"/>
    <w:rsid w:val="007924DD"/>
    <w:rsid w:val="007924FE"/>
    <w:rsid w:val="0079292B"/>
    <w:rsid w:val="00792C13"/>
    <w:rsid w:val="00792ECD"/>
    <w:rsid w:val="007931B5"/>
    <w:rsid w:val="007935D0"/>
    <w:rsid w:val="00793827"/>
    <w:rsid w:val="00794099"/>
    <w:rsid w:val="00794356"/>
    <w:rsid w:val="007944CF"/>
    <w:rsid w:val="007944E9"/>
    <w:rsid w:val="007948F0"/>
    <w:rsid w:val="00794951"/>
    <w:rsid w:val="00794AA2"/>
    <w:rsid w:val="00794C30"/>
    <w:rsid w:val="00795336"/>
    <w:rsid w:val="007956BE"/>
    <w:rsid w:val="007956F3"/>
    <w:rsid w:val="00795ACC"/>
    <w:rsid w:val="00795B24"/>
    <w:rsid w:val="00795BA2"/>
    <w:rsid w:val="00795D45"/>
    <w:rsid w:val="00795E39"/>
    <w:rsid w:val="007961D9"/>
    <w:rsid w:val="007963FD"/>
    <w:rsid w:val="007967C9"/>
    <w:rsid w:val="00796882"/>
    <w:rsid w:val="00796884"/>
    <w:rsid w:val="007969DB"/>
    <w:rsid w:val="00796A34"/>
    <w:rsid w:val="00796A8B"/>
    <w:rsid w:val="007972BD"/>
    <w:rsid w:val="00797374"/>
    <w:rsid w:val="0079758B"/>
    <w:rsid w:val="007976AA"/>
    <w:rsid w:val="00797C5C"/>
    <w:rsid w:val="00797EB4"/>
    <w:rsid w:val="007A0396"/>
    <w:rsid w:val="007A0411"/>
    <w:rsid w:val="007A0C54"/>
    <w:rsid w:val="007A107A"/>
    <w:rsid w:val="007A1097"/>
    <w:rsid w:val="007A11D7"/>
    <w:rsid w:val="007A12EA"/>
    <w:rsid w:val="007A1335"/>
    <w:rsid w:val="007A133B"/>
    <w:rsid w:val="007A1CB1"/>
    <w:rsid w:val="007A1D0F"/>
    <w:rsid w:val="007A1D80"/>
    <w:rsid w:val="007A1DB3"/>
    <w:rsid w:val="007A1F0A"/>
    <w:rsid w:val="007A2098"/>
    <w:rsid w:val="007A2327"/>
    <w:rsid w:val="007A2488"/>
    <w:rsid w:val="007A26C1"/>
    <w:rsid w:val="007A2D5B"/>
    <w:rsid w:val="007A2E7F"/>
    <w:rsid w:val="007A32D8"/>
    <w:rsid w:val="007A3538"/>
    <w:rsid w:val="007A365F"/>
    <w:rsid w:val="007A41CE"/>
    <w:rsid w:val="007A4714"/>
    <w:rsid w:val="007A4C5B"/>
    <w:rsid w:val="007A4F7D"/>
    <w:rsid w:val="007A5234"/>
    <w:rsid w:val="007A526B"/>
    <w:rsid w:val="007A52C9"/>
    <w:rsid w:val="007A5648"/>
    <w:rsid w:val="007A5668"/>
    <w:rsid w:val="007A584F"/>
    <w:rsid w:val="007A58A3"/>
    <w:rsid w:val="007A610B"/>
    <w:rsid w:val="007A6204"/>
    <w:rsid w:val="007A6205"/>
    <w:rsid w:val="007A6ABF"/>
    <w:rsid w:val="007A7090"/>
    <w:rsid w:val="007A7240"/>
    <w:rsid w:val="007A74BB"/>
    <w:rsid w:val="007A7550"/>
    <w:rsid w:val="007A7941"/>
    <w:rsid w:val="007A7A8B"/>
    <w:rsid w:val="007A7EBE"/>
    <w:rsid w:val="007B0196"/>
    <w:rsid w:val="007B0425"/>
    <w:rsid w:val="007B0526"/>
    <w:rsid w:val="007B07F8"/>
    <w:rsid w:val="007B0AF1"/>
    <w:rsid w:val="007B109A"/>
    <w:rsid w:val="007B12C1"/>
    <w:rsid w:val="007B174A"/>
    <w:rsid w:val="007B1D76"/>
    <w:rsid w:val="007B1DA3"/>
    <w:rsid w:val="007B2254"/>
    <w:rsid w:val="007B272F"/>
    <w:rsid w:val="007B28F0"/>
    <w:rsid w:val="007B3307"/>
    <w:rsid w:val="007B3429"/>
    <w:rsid w:val="007B35D7"/>
    <w:rsid w:val="007B3707"/>
    <w:rsid w:val="007B3B11"/>
    <w:rsid w:val="007B3C01"/>
    <w:rsid w:val="007B3D3B"/>
    <w:rsid w:val="007B4476"/>
    <w:rsid w:val="007B477A"/>
    <w:rsid w:val="007B4881"/>
    <w:rsid w:val="007B4B14"/>
    <w:rsid w:val="007B4BAA"/>
    <w:rsid w:val="007B4C16"/>
    <w:rsid w:val="007B4EBA"/>
    <w:rsid w:val="007B4FE3"/>
    <w:rsid w:val="007B5531"/>
    <w:rsid w:val="007B61CD"/>
    <w:rsid w:val="007B64FF"/>
    <w:rsid w:val="007B683D"/>
    <w:rsid w:val="007B706A"/>
    <w:rsid w:val="007B710C"/>
    <w:rsid w:val="007B714E"/>
    <w:rsid w:val="007B751B"/>
    <w:rsid w:val="007B776C"/>
    <w:rsid w:val="007B7CD6"/>
    <w:rsid w:val="007B7DA4"/>
    <w:rsid w:val="007C04D2"/>
    <w:rsid w:val="007C0591"/>
    <w:rsid w:val="007C06DE"/>
    <w:rsid w:val="007C0BE8"/>
    <w:rsid w:val="007C0C64"/>
    <w:rsid w:val="007C0F27"/>
    <w:rsid w:val="007C1078"/>
    <w:rsid w:val="007C10A7"/>
    <w:rsid w:val="007C137A"/>
    <w:rsid w:val="007C16F0"/>
    <w:rsid w:val="007C17A0"/>
    <w:rsid w:val="007C1AA2"/>
    <w:rsid w:val="007C1D01"/>
    <w:rsid w:val="007C1D13"/>
    <w:rsid w:val="007C1E22"/>
    <w:rsid w:val="007C1EC0"/>
    <w:rsid w:val="007C21F1"/>
    <w:rsid w:val="007C2714"/>
    <w:rsid w:val="007C28A7"/>
    <w:rsid w:val="007C3348"/>
    <w:rsid w:val="007C3971"/>
    <w:rsid w:val="007C456F"/>
    <w:rsid w:val="007C4E52"/>
    <w:rsid w:val="007C4F19"/>
    <w:rsid w:val="007C4F4C"/>
    <w:rsid w:val="007C52D9"/>
    <w:rsid w:val="007C58C6"/>
    <w:rsid w:val="007C590F"/>
    <w:rsid w:val="007C5C0B"/>
    <w:rsid w:val="007C602E"/>
    <w:rsid w:val="007C6068"/>
    <w:rsid w:val="007C62EF"/>
    <w:rsid w:val="007C6370"/>
    <w:rsid w:val="007C640B"/>
    <w:rsid w:val="007C6421"/>
    <w:rsid w:val="007C6C1C"/>
    <w:rsid w:val="007C710D"/>
    <w:rsid w:val="007C7250"/>
    <w:rsid w:val="007D040E"/>
    <w:rsid w:val="007D0836"/>
    <w:rsid w:val="007D091D"/>
    <w:rsid w:val="007D0936"/>
    <w:rsid w:val="007D1239"/>
    <w:rsid w:val="007D142E"/>
    <w:rsid w:val="007D16B8"/>
    <w:rsid w:val="007D181C"/>
    <w:rsid w:val="007D1B86"/>
    <w:rsid w:val="007D1E15"/>
    <w:rsid w:val="007D1E28"/>
    <w:rsid w:val="007D2A4A"/>
    <w:rsid w:val="007D2C4D"/>
    <w:rsid w:val="007D2C74"/>
    <w:rsid w:val="007D2ED6"/>
    <w:rsid w:val="007D30B6"/>
    <w:rsid w:val="007D3C18"/>
    <w:rsid w:val="007D3F1E"/>
    <w:rsid w:val="007D3F8D"/>
    <w:rsid w:val="007D438D"/>
    <w:rsid w:val="007D4580"/>
    <w:rsid w:val="007D4A86"/>
    <w:rsid w:val="007D4D13"/>
    <w:rsid w:val="007D4E63"/>
    <w:rsid w:val="007D56EB"/>
    <w:rsid w:val="007D56F7"/>
    <w:rsid w:val="007D5CD6"/>
    <w:rsid w:val="007D5FF0"/>
    <w:rsid w:val="007D63EF"/>
    <w:rsid w:val="007D65E7"/>
    <w:rsid w:val="007D6625"/>
    <w:rsid w:val="007D6F2A"/>
    <w:rsid w:val="007D70C6"/>
    <w:rsid w:val="007D711B"/>
    <w:rsid w:val="007D7194"/>
    <w:rsid w:val="007D73D0"/>
    <w:rsid w:val="007D75F2"/>
    <w:rsid w:val="007D763D"/>
    <w:rsid w:val="007D7F1E"/>
    <w:rsid w:val="007E0637"/>
    <w:rsid w:val="007E0751"/>
    <w:rsid w:val="007E0AE0"/>
    <w:rsid w:val="007E0C75"/>
    <w:rsid w:val="007E152F"/>
    <w:rsid w:val="007E17CE"/>
    <w:rsid w:val="007E1889"/>
    <w:rsid w:val="007E1BD3"/>
    <w:rsid w:val="007E1FCF"/>
    <w:rsid w:val="007E2004"/>
    <w:rsid w:val="007E222F"/>
    <w:rsid w:val="007E2444"/>
    <w:rsid w:val="007E27EA"/>
    <w:rsid w:val="007E28CB"/>
    <w:rsid w:val="007E2EC0"/>
    <w:rsid w:val="007E2FC7"/>
    <w:rsid w:val="007E2FD5"/>
    <w:rsid w:val="007E31A4"/>
    <w:rsid w:val="007E3572"/>
    <w:rsid w:val="007E36C1"/>
    <w:rsid w:val="007E36DF"/>
    <w:rsid w:val="007E3CFE"/>
    <w:rsid w:val="007E3E23"/>
    <w:rsid w:val="007E3FB6"/>
    <w:rsid w:val="007E4432"/>
    <w:rsid w:val="007E49DC"/>
    <w:rsid w:val="007E4BE6"/>
    <w:rsid w:val="007E4BF2"/>
    <w:rsid w:val="007E4BFA"/>
    <w:rsid w:val="007E4CF6"/>
    <w:rsid w:val="007E4E6B"/>
    <w:rsid w:val="007E4FDA"/>
    <w:rsid w:val="007E5501"/>
    <w:rsid w:val="007E5806"/>
    <w:rsid w:val="007E58A0"/>
    <w:rsid w:val="007E5967"/>
    <w:rsid w:val="007E60EE"/>
    <w:rsid w:val="007E627A"/>
    <w:rsid w:val="007E64C6"/>
    <w:rsid w:val="007E6B1B"/>
    <w:rsid w:val="007E6E46"/>
    <w:rsid w:val="007E7217"/>
    <w:rsid w:val="007E761A"/>
    <w:rsid w:val="007F0005"/>
    <w:rsid w:val="007F055E"/>
    <w:rsid w:val="007F059B"/>
    <w:rsid w:val="007F0930"/>
    <w:rsid w:val="007F0E57"/>
    <w:rsid w:val="007F0EC5"/>
    <w:rsid w:val="007F128A"/>
    <w:rsid w:val="007F142C"/>
    <w:rsid w:val="007F1771"/>
    <w:rsid w:val="007F18C1"/>
    <w:rsid w:val="007F21D7"/>
    <w:rsid w:val="007F22BC"/>
    <w:rsid w:val="007F2547"/>
    <w:rsid w:val="007F258B"/>
    <w:rsid w:val="007F265F"/>
    <w:rsid w:val="007F2817"/>
    <w:rsid w:val="007F28A3"/>
    <w:rsid w:val="007F2AD1"/>
    <w:rsid w:val="007F2BC3"/>
    <w:rsid w:val="007F2BE4"/>
    <w:rsid w:val="007F2D1D"/>
    <w:rsid w:val="007F346E"/>
    <w:rsid w:val="007F39CA"/>
    <w:rsid w:val="007F3A35"/>
    <w:rsid w:val="007F3E4F"/>
    <w:rsid w:val="007F3E7D"/>
    <w:rsid w:val="007F4250"/>
    <w:rsid w:val="007F45C2"/>
    <w:rsid w:val="007F4940"/>
    <w:rsid w:val="007F4AD0"/>
    <w:rsid w:val="007F4D63"/>
    <w:rsid w:val="007F4FF4"/>
    <w:rsid w:val="007F52C7"/>
    <w:rsid w:val="007F5803"/>
    <w:rsid w:val="007F5966"/>
    <w:rsid w:val="007F5D74"/>
    <w:rsid w:val="007F6116"/>
    <w:rsid w:val="007F646D"/>
    <w:rsid w:val="007F67A1"/>
    <w:rsid w:val="007F6DB3"/>
    <w:rsid w:val="007F7274"/>
    <w:rsid w:val="007F734C"/>
    <w:rsid w:val="007F73B3"/>
    <w:rsid w:val="007F77E2"/>
    <w:rsid w:val="007F787C"/>
    <w:rsid w:val="007F7AD9"/>
    <w:rsid w:val="008003F1"/>
    <w:rsid w:val="00800609"/>
    <w:rsid w:val="008006C1"/>
    <w:rsid w:val="008013B4"/>
    <w:rsid w:val="008013E9"/>
    <w:rsid w:val="008019F6"/>
    <w:rsid w:val="00801D2D"/>
    <w:rsid w:val="00801DC4"/>
    <w:rsid w:val="00801FD5"/>
    <w:rsid w:val="008021E9"/>
    <w:rsid w:val="0080238A"/>
    <w:rsid w:val="0080290F"/>
    <w:rsid w:val="00802ED5"/>
    <w:rsid w:val="00802F60"/>
    <w:rsid w:val="00803212"/>
    <w:rsid w:val="0080331D"/>
    <w:rsid w:val="00803614"/>
    <w:rsid w:val="008038A0"/>
    <w:rsid w:val="008039EC"/>
    <w:rsid w:val="00803C67"/>
    <w:rsid w:val="00803D8F"/>
    <w:rsid w:val="00804103"/>
    <w:rsid w:val="008043AB"/>
    <w:rsid w:val="0080444E"/>
    <w:rsid w:val="008046D0"/>
    <w:rsid w:val="008049F0"/>
    <w:rsid w:val="00804E43"/>
    <w:rsid w:val="008050BE"/>
    <w:rsid w:val="008055C1"/>
    <w:rsid w:val="008057D1"/>
    <w:rsid w:val="00805B55"/>
    <w:rsid w:val="00805D70"/>
    <w:rsid w:val="00805F2F"/>
    <w:rsid w:val="00805FAE"/>
    <w:rsid w:val="008061E5"/>
    <w:rsid w:val="0080651C"/>
    <w:rsid w:val="00806644"/>
    <w:rsid w:val="0080688A"/>
    <w:rsid w:val="00806928"/>
    <w:rsid w:val="00806EFD"/>
    <w:rsid w:val="00806FAF"/>
    <w:rsid w:val="00807026"/>
    <w:rsid w:val="00807570"/>
    <w:rsid w:val="00807C43"/>
    <w:rsid w:val="00807F2B"/>
    <w:rsid w:val="00810059"/>
    <w:rsid w:val="00810242"/>
    <w:rsid w:val="008103B3"/>
    <w:rsid w:val="00810515"/>
    <w:rsid w:val="00810727"/>
    <w:rsid w:val="00810C95"/>
    <w:rsid w:val="00810C9A"/>
    <w:rsid w:val="00810FD4"/>
    <w:rsid w:val="00811109"/>
    <w:rsid w:val="008111D6"/>
    <w:rsid w:val="0081140B"/>
    <w:rsid w:val="008114D8"/>
    <w:rsid w:val="0081165D"/>
    <w:rsid w:val="00811932"/>
    <w:rsid w:val="0081203B"/>
    <w:rsid w:val="00812908"/>
    <w:rsid w:val="00812FA5"/>
    <w:rsid w:val="008130D5"/>
    <w:rsid w:val="008133B1"/>
    <w:rsid w:val="008137B1"/>
    <w:rsid w:val="00813D9C"/>
    <w:rsid w:val="008144DC"/>
    <w:rsid w:val="00814ADD"/>
    <w:rsid w:val="00814C27"/>
    <w:rsid w:val="00814DCC"/>
    <w:rsid w:val="00815069"/>
    <w:rsid w:val="008155C1"/>
    <w:rsid w:val="00815685"/>
    <w:rsid w:val="00815749"/>
    <w:rsid w:val="00815890"/>
    <w:rsid w:val="00815FF6"/>
    <w:rsid w:val="00816070"/>
    <w:rsid w:val="00816088"/>
    <w:rsid w:val="0081619F"/>
    <w:rsid w:val="0081625E"/>
    <w:rsid w:val="0081636F"/>
    <w:rsid w:val="00816D9C"/>
    <w:rsid w:val="00816F74"/>
    <w:rsid w:val="0081703C"/>
    <w:rsid w:val="00817281"/>
    <w:rsid w:val="008172C0"/>
    <w:rsid w:val="008173AD"/>
    <w:rsid w:val="00817C37"/>
    <w:rsid w:val="00817CF3"/>
    <w:rsid w:val="0082007D"/>
    <w:rsid w:val="00820153"/>
    <w:rsid w:val="008203A6"/>
    <w:rsid w:val="0082047F"/>
    <w:rsid w:val="008207C2"/>
    <w:rsid w:val="00820DC8"/>
    <w:rsid w:val="008210F4"/>
    <w:rsid w:val="00821200"/>
    <w:rsid w:val="00821330"/>
    <w:rsid w:val="0082183C"/>
    <w:rsid w:val="00821B54"/>
    <w:rsid w:val="008223FE"/>
    <w:rsid w:val="008224EF"/>
    <w:rsid w:val="00822939"/>
    <w:rsid w:val="008230F5"/>
    <w:rsid w:val="00823579"/>
    <w:rsid w:val="00823688"/>
    <w:rsid w:val="008238C1"/>
    <w:rsid w:val="00823953"/>
    <w:rsid w:val="00823B43"/>
    <w:rsid w:val="00823D3F"/>
    <w:rsid w:val="008247AC"/>
    <w:rsid w:val="00824A27"/>
    <w:rsid w:val="00825058"/>
    <w:rsid w:val="00825798"/>
    <w:rsid w:val="008258FB"/>
    <w:rsid w:val="00826086"/>
    <w:rsid w:val="008263B1"/>
    <w:rsid w:val="0082646A"/>
    <w:rsid w:val="00826566"/>
    <w:rsid w:val="008265A6"/>
    <w:rsid w:val="0082661F"/>
    <w:rsid w:val="00826661"/>
    <w:rsid w:val="008269E0"/>
    <w:rsid w:val="00826B25"/>
    <w:rsid w:val="00827072"/>
    <w:rsid w:val="00827179"/>
    <w:rsid w:val="00827255"/>
    <w:rsid w:val="0082748F"/>
    <w:rsid w:val="008274F9"/>
    <w:rsid w:val="008277CD"/>
    <w:rsid w:val="0082794C"/>
    <w:rsid w:val="00827B17"/>
    <w:rsid w:val="00827BD9"/>
    <w:rsid w:val="00827C1B"/>
    <w:rsid w:val="00830283"/>
    <w:rsid w:val="0083076A"/>
    <w:rsid w:val="008309F6"/>
    <w:rsid w:val="00830B38"/>
    <w:rsid w:val="00830D38"/>
    <w:rsid w:val="00830D97"/>
    <w:rsid w:val="00831101"/>
    <w:rsid w:val="008312B1"/>
    <w:rsid w:val="008314C9"/>
    <w:rsid w:val="008316D8"/>
    <w:rsid w:val="0083186E"/>
    <w:rsid w:val="008319B7"/>
    <w:rsid w:val="008319EC"/>
    <w:rsid w:val="00831BB7"/>
    <w:rsid w:val="00832204"/>
    <w:rsid w:val="00832B67"/>
    <w:rsid w:val="008336DD"/>
    <w:rsid w:val="008337B3"/>
    <w:rsid w:val="00833B1A"/>
    <w:rsid w:val="00833CF0"/>
    <w:rsid w:val="00833FBB"/>
    <w:rsid w:val="00833FD5"/>
    <w:rsid w:val="008341B9"/>
    <w:rsid w:val="00834217"/>
    <w:rsid w:val="008344C6"/>
    <w:rsid w:val="00834852"/>
    <w:rsid w:val="0083492D"/>
    <w:rsid w:val="00834B0D"/>
    <w:rsid w:val="00834B65"/>
    <w:rsid w:val="00834C84"/>
    <w:rsid w:val="00834D89"/>
    <w:rsid w:val="008352A2"/>
    <w:rsid w:val="00835840"/>
    <w:rsid w:val="0083606D"/>
    <w:rsid w:val="008361E0"/>
    <w:rsid w:val="0083634F"/>
    <w:rsid w:val="00836BA6"/>
    <w:rsid w:val="00836C72"/>
    <w:rsid w:val="00836CFC"/>
    <w:rsid w:val="00836E72"/>
    <w:rsid w:val="008376B4"/>
    <w:rsid w:val="00837845"/>
    <w:rsid w:val="008402D2"/>
    <w:rsid w:val="00840A39"/>
    <w:rsid w:val="00840AC4"/>
    <w:rsid w:val="00840ACA"/>
    <w:rsid w:val="00840DC3"/>
    <w:rsid w:val="00840F38"/>
    <w:rsid w:val="00841202"/>
    <w:rsid w:val="008415AB"/>
    <w:rsid w:val="008416A5"/>
    <w:rsid w:val="008416F1"/>
    <w:rsid w:val="00841869"/>
    <w:rsid w:val="008419A5"/>
    <w:rsid w:val="00841C51"/>
    <w:rsid w:val="00841D07"/>
    <w:rsid w:val="00841DD2"/>
    <w:rsid w:val="00841ED7"/>
    <w:rsid w:val="008424F6"/>
    <w:rsid w:val="00842673"/>
    <w:rsid w:val="00842832"/>
    <w:rsid w:val="008428C3"/>
    <w:rsid w:val="00842A26"/>
    <w:rsid w:val="00842E4F"/>
    <w:rsid w:val="008436DF"/>
    <w:rsid w:val="00843B8A"/>
    <w:rsid w:val="00843CA7"/>
    <w:rsid w:val="00843CF6"/>
    <w:rsid w:val="00843D3D"/>
    <w:rsid w:val="00844030"/>
    <w:rsid w:val="0084424F"/>
    <w:rsid w:val="008443E6"/>
    <w:rsid w:val="0084454F"/>
    <w:rsid w:val="008449D2"/>
    <w:rsid w:val="00844B8E"/>
    <w:rsid w:val="00844BAE"/>
    <w:rsid w:val="00845129"/>
    <w:rsid w:val="008451A0"/>
    <w:rsid w:val="008453B8"/>
    <w:rsid w:val="00845510"/>
    <w:rsid w:val="00845895"/>
    <w:rsid w:val="008458BD"/>
    <w:rsid w:val="00845FF7"/>
    <w:rsid w:val="008463D9"/>
    <w:rsid w:val="00846420"/>
    <w:rsid w:val="008465D0"/>
    <w:rsid w:val="00846F55"/>
    <w:rsid w:val="00847064"/>
    <w:rsid w:val="008474B5"/>
    <w:rsid w:val="00847FDE"/>
    <w:rsid w:val="00850142"/>
    <w:rsid w:val="008501FE"/>
    <w:rsid w:val="0085029E"/>
    <w:rsid w:val="00850609"/>
    <w:rsid w:val="00850A70"/>
    <w:rsid w:val="00850BCF"/>
    <w:rsid w:val="00850E71"/>
    <w:rsid w:val="0085114B"/>
    <w:rsid w:val="008511FC"/>
    <w:rsid w:val="0085128C"/>
    <w:rsid w:val="00851571"/>
    <w:rsid w:val="008516AD"/>
    <w:rsid w:val="0085174E"/>
    <w:rsid w:val="00851A57"/>
    <w:rsid w:val="00851BEE"/>
    <w:rsid w:val="00851CE5"/>
    <w:rsid w:val="00851E3E"/>
    <w:rsid w:val="00851F85"/>
    <w:rsid w:val="00852256"/>
    <w:rsid w:val="008524DE"/>
    <w:rsid w:val="008529C7"/>
    <w:rsid w:val="00852AD7"/>
    <w:rsid w:val="00853026"/>
    <w:rsid w:val="008533A0"/>
    <w:rsid w:val="008537A4"/>
    <w:rsid w:val="00853904"/>
    <w:rsid w:val="00853CCD"/>
    <w:rsid w:val="00853E06"/>
    <w:rsid w:val="00853FDA"/>
    <w:rsid w:val="008545AE"/>
    <w:rsid w:val="0085465A"/>
    <w:rsid w:val="008547CD"/>
    <w:rsid w:val="00854AC5"/>
    <w:rsid w:val="00854AD6"/>
    <w:rsid w:val="00854D51"/>
    <w:rsid w:val="00854F99"/>
    <w:rsid w:val="0085513F"/>
    <w:rsid w:val="00855202"/>
    <w:rsid w:val="00855350"/>
    <w:rsid w:val="0085573B"/>
    <w:rsid w:val="008557D1"/>
    <w:rsid w:val="00855B98"/>
    <w:rsid w:val="00855D8F"/>
    <w:rsid w:val="00855FAA"/>
    <w:rsid w:val="00855FCE"/>
    <w:rsid w:val="0085628C"/>
    <w:rsid w:val="008564FD"/>
    <w:rsid w:val="00856573"/>
    <w:rsid w:val="00856649"/>
    <w:rsid w:val="00856AB6"/>
    <w:rsid w:val="00856CE2"/>
    <w:rsid w:val="00860421"/>
    <w:rsid w:val="00860601"/>
    <w:rsid w:val="00860765"/>
    <w:rsid w:val="00860B2D"/>
    <w:rsid w:val="008618F2"/>
    <w:rsid w:val="00861E93"/>
    <w:rsid w:val="00862004"/>
    <w:rsid w:val="00862047"/>
    <w:rsid w:val="008621BD"/>
    <w:rsid w:val="0086224B"/>
    <w:rsid w:val="00862335"/>
    <w:rsid w:val="00862B5B"/>
    <w:rsid w:val="00862C81"/>
    <w:rsid w:val="00862EE5"/>
    <w:rsid w:val="0086365E"/>
    <w:rsid w:val="00863675"/>
    <w:rsid w:val="008636EB"/>
    <w:rsid w:val="00863D38"/>
    <w:rsid w:val="00863EEC"/>
    <w:rsid w:val="00863F20"/>
    <w:rsid w:val="0086425C"/>
    <w:rsid w:val="00864338"/>
    <w:rsid w:val="0086440D"/>
    <w:rsid w:val="0086450D"/>
    <w:rsid w:val="008645D9"/>
    <w:rsid w:val="00864BE2"/>
    <w:rsid w:val="00864F43"/>
    <w:rsid w:val="00864F9A"/>
    <w:rsid w:val="00865216"/>
    <w:rsid w:val="008652A4"/>
    <w:rsid w:val="008653A0"/>
    <w:rsid w:val="0086541F"/>
    <w:rsid w:val="008658EE"/>
    <w:rsid w:val="00865942"/>
    <w:rsid w:val="008659F9"/>
    <w:rsid w:val="00865BB3"/>
    <w:rsid w:val="00865E4C"/>
    <w:rsid w:val="008660B0"/>
    <w:rsid w:val="00866405"/>
    <w:rsid w:val="008665A1"/>
    <w:rsid w:val="008665DE"/>
    <w:rsid w:val="008666DF"/>
    <w:rsid w:val="008671B7"/>
    <w:rsid w:val="0086741F"/>
    <w:rsid w:val="0086747C"/>
    <w:rsid w:val="0086751B"/>
    <w:rsid w:val="0086751C"/>
    <w:rsid w:val="008676F4"/>
    <w:rsid w:val="008676F9"/>
    <w:rsid w:val="00867C94"/>
    <w:rsid w:val="00867D62"/>
    <w:rsid w:val="00867F4D"/>
    <w:rsid w:val="008700C0"/>
    <w:rsid w:val="00870265"/>
    <w:rsid w:val="00870331"/>
    <w:rsid w:val="0087049B"/>
    <w:rsid w:val="00870799"/>
    <w:rsid w:val="0087088B"/>
    <w:rsid w:val="008712AB"/>
    <w:rsid w:val="00871874"/>
    <w:rsid w:val="00871948"/>
    <w:rsid w:val="00871A4D"/>
    <w:rsid w:val="00871D96"/>
    <w:rsid w:val="00871EF9"/>
    <w:rsid w:val="00872216"/>
    <w:rsid w:val="008722FD"/>
    <w:rsid w:val="0087247D"/>
    <w:rsid w:val="00872BED"/>
    <w:rsid w:val="00873ABA"/>
    <w:rsid w:val="00873B26"/>
    <w:rsid w:val="0087405B"/>
    <w:rsid w:val="00874196"/>
    <w:rsid w:val="008743B9"/>
    <w:rsid w:val="00874694"/>
    <w:rsid w:val="008748BC"/>
    <w:rsid w:val="00874AA8"/>
    <w:rsid w:val="00874B0C"/>
    <w:rsid w:val="00874C02"/>
    <w:rsid w:val="00874CB7"/>
    <w:rsid w:val="00874DFC"/>
    <w:rsid w:val="008751D0"/>
    <w:rsid w:val="00875763"/>
    <w:rsid w:val="00875950"/>
    <w:rsid w:val="00875A0B"/>
    <w:rsid w:val="00875C83"/>
    <w:rsid w:val="00875C9A"/>
    <w:rsid w:val="00875FDD"/>
    <w:rsid w:val="0087616B"/>
    <w:rsid w:val="00876215"/>
    <w:rsid w:val="008767C2"/>
    <w:rsid w:val="00876826"/>
    <w:rsid w:val="00876C14"/>
    <w:rsid w:val="00876C50"/>
    <w:rsid w:val="00876CCF"/>
    <w:rsid w:val="00876E56"/>
    <w:rsid w:val="00876F89"/>
    <w:rsid w:val="00876FFE"/>
    <w:rsid w:val="00877839"/>
    <w:rsid w:val="0087793B"/>
    <w:rsid w:val="00877A7C"/>
    <w:rsid w:val="00877EAC"/>
    <w:rsid w:val="00880519"/>
    <w:rsid w:val="0088067F"/>
    <w:rsid w:val="008809D0"/>
    <w:rsid w:val="00880D4A"/>
    <w:rsid w:val="00880EAF"/>
    <w:rsid w:val="0088101E"/>
    <w:rsid w:val="0088199A"/>
    <w:rsid w:val="00881C48"/>
    <w:rsid w:val="0088277C"/>
    <w:rsid w:val="00882AA1"/>
    <w:rsid w:val="00882D51"/>
    <w:rsid w:val="00882DEE"/>
    <w:rsid w:val="00883037"/>
    <w:rsid w:val="00883671"/>
    <w:rsid w:val="00883FF0"/>
    <w:rsid w:val="0088420B"/>
    <w:rsid w:val="0088437B"/>
    <w:rsid w:val="0088446E"/>
    <w:rsid w:val="00884BA1"/>
    <w:rsid w:val="00886566"/>
    <w:rsid w:val="008866F2"/>
    <w:rsid w:val="00886AD4"/>
    <w:rsid w:val="00886AF6"/>
    <w:rsid w:val="00886BA0"/>
    <w:rsid w:val="00886DC9"/>
    <w:rsid w:val="00886E23"/>
    <w:rsid w:val="00886F43"/>
    <w:rsid w:val="00887397"/>
    <w:rsid w:val="00887718"/>
    <w:rsid w:val="00887C16"/>
    <w:rsid w:val="00887DBF"/>
    <w:rsid w:val="008903A3"/>
    <w:rsid w:val="008903B9"/>
    <w:rsid w:val="0089050D"/>
    <w:rsid w:val="00890A8E"/>
    <w:rsid w:val="00890CE8"/>
    <w:rsid w:val="00891AA2"/>
    <w:rsid w:val="00891E7C"/>
    <w:rsid w:val="00892AE4"/>
    <w:rsid w:val="00892BC2"/>
    <w:rsid w:val="00892BC9"/>
    <w:rsid w:val="00892D6E"/>
    <w:rsid w:val="00892F04"/>
    <w:rsid w:val="00892F12"/>
    <w:rsid w:val="00892F52"/>
    <w:rsid w:val="00893480"/>
    <w:rsid w:val="00893564"/>
    <w:rsid w:val="00893967"/>
    <w:rsid w:val="00893B43"/>
    <w:rsid w:val="0089411F"/>
    <w:rsid w:val="008941E9"/>
    <w:rsid w:val="008946AD"/>
    <w:rsid w:val="008946B8"/>
    <w:rsid w:val="00894888"/>
    <w:rsid w:val="00894C65"/>
    <w:rsid w:val="00894D38"/>
    <w:rsid w:val="00894D68"/>
    <w:rsid w:val="00894F99"/>
    <w:rsid w:val="0089563C"/>
    <w:rsid w:val="00895893"/>
    <w:rsid w:val="00895D7A"/>
    <w:rsid w:val="00895FC7"/>
    <w:rsid w:val="00896079"/>
    <w:rsid w:val="0089616A"/>
    <w:rsid w:val="008961A6"/>
    <w:rsid w:val="008964E3"/>
    <w:rsid w:val="00896518"/>
    <w:rsid w:val="00896783"/>
    <w:rsid w:val="0089690F"/>
    <w:rsid w:val="00896E66"/>
    <w:rsid w:val="00897119"/>
    <w:rsid w:val="00897374"/>
    <w:rsid w:val="00897672"/>
    <w:rsid w:val="00897A36"/>
    <w:rsid w:val="00897B7E"/>
    <w:rsid w:val="008A03E3"/>
    <w:rsid w:val="008A08A5"/>
    <w:rsid w:val="008A10B8"/>
    <w:rsid w:val="008A10FB"/>
    <w:rsid w:val="008A1188"/>
    <w:rsid w:val="008A1C4A"/>
    <w:rsid w:val="008A1D82"/>
    <w:rsid w:val="008A1ED4"/>
    <w:rsid w:val="008A1FF4"/>
    <w:rsid w:val="008A2552"/>
    <w:rsid w:val="008A2773"/>
    <w:rsid w:val="008A3217"/>
    <w:rsid w:val="008A3673"/>
    <w:rsid w:val="008A3AD8"/>
    <w:rsid w:val="008A402D"/>
    <w:rsid w:val="008A4174"/>
    <w:rsid w:val="008A4297"/>
    <w:rsid w:val="008A43E1"/>
    <w:rsid w:val="008A4753"/>
    <w:rsid w:val="008A487E"/>
    <w:rsid w:val="008A4EEC"/>
    <w:rsid w:val="008A5256"/>
    <w:rsid w:val="008A53C2"/>
    <w:rsid w:val="008A543D"/>
    <w:rsid w:val="008A55EC"/>
    <w:rsid w:val="008A5862"/>
    <w:rsid w:val="008A591A"/>
    <w:rsid w:val="008A5D63"/>
    <w:rsid w:val="008A63C3"/>
    <w:rsid w:val="008A63E8"/>
    <w:rsid w:val="008A6460"/>
    <w:rsid w:val="008A6804"/>
    <w:rsid w:val="008A69AF"/>
    <w:rsid w:val="008A69DB"/>
    <w:rsid w:val="008A6AE1"/>
    <w:rsid w:val="008A6BF1"/>
    <w:rsid w:val="008A744F"/>
    <w:rsid w:val="008A7475"/>
    <w:rsid w:val="008A7512"/>
    <w:rsid w:val="008A765B"/>
    <w:rsid w:val="008A7859"/>
    <w:rsid w:val="008A7AC3"/>
    <w:rsid w:val="008A7C1C"/>
    <w:rsid w:val="008A7F4F"/>
    <w:rsid w:val="008B02BB"/>
    <w:rsid w:val="008B0763"/>
    <w:rsid w:val="008B09D1"/>
    <w:rsid w:val="008B0AE1"/>
    <w:rsid w:val="008B0B2D"/>
    <w:rsid w:val="008B0BAD"/>
    <w:rsid w:val="008B0C17"/>
    <w:rsid w:val="008B0F40"/>
    <w:rsid w:val="008B130B"/>
    <w:rsid w:val="008B1427"/>
    <w:rsid w:val="008B17EA"/>
    <w:rsid w:val="008B19E4"/>
    <w:rsid w:val="008B1B7D"/>
    <w:rsid w:val="008B1BE5"/>
    <w:rsid w:val="008B1D58"/>
    <w:rsid w:val="008B1D70"/>
    <w:rsid w:val="008B1DE5"/>
    <w:rsid w:val="008B20B9"/>
    <w:rsid w:val="008B22C0"/>
    <w:rsid w:val="008B2593"/>
    <w:rsid w:val="008B28C0"/>
    <w:rsid w:val="008B2960"/>
    <w:rsid w:val="008B3617"/>
    <w:rsid w:val="008B376E"/>
    <w:rsid w:val="008B39BB"/>
    <w:rsid w:val="008B3A25"/>
    <w:rsid w:val="008B3C8B"/>
    <w:rsid w:val="008B408B"/>
    <w:rsid w:val="008B4686"/>
    <w:rsid w:val="008B4810"/>
    <w:rsid w:val="008B4B54"/>
    <w:rsid w:val="008B4CE1"/>
    <w:rsid w:val="008B4DF6"/>
    <w:rsid w:val="008B4F2C"/>
    <w:rsid w:val="008B5187"/>
    <w:rsid w:val="008B535B"/>
    <w:rsid w:val="008B5CB0"/>
    <w:rsid w:val="008B6281"/>
    <w:rsid w:val="008B63BF"/>
    <w:rsid w:val="008B6563"/>
    <w:rsid w:val="008B6650"/>
    <w:rsid w:val="008B6CDB"/>
    <w:rsid w:val="008B6DBD"/>
    <w:rsid w:val="008B6DDA"/>
    <w:rsid w:val="008B70EE"/>
    <w:rsid w:val="008B72F9"/>
    <w:rsid w:val="008B74A2"/>
    <w:rsid w:val="008B74C0"/>
    <w:rsid w:val="008B777F"/>
    <w:rsid w:val="008B78B7"/>
    <w:rsid w:val="008B7A5D"/>
    <w:rsid w:val="008B7CF0"/>
    <w:rsid w:val="008C01BF"/>
    <w:rsid w:val="008C039A"/>
    <w:rsid w:val="008C088B"/>
    <w:rsid w:val="008C0920"/>
    <w:rsid w:val="008C0AC2"/>
    <w:rsid w:val="008C0B1A"/>
    <w:rsid w:val="008C0B4A"/>
    <w:rsid w:val="008C10CE"/>
    <w:rsid w:val="008C1551"/>
    <w:rsid w:val="008C1A40"/>
    <w:rsid w:val="008C1ABD"/>
    <w:rsid w:val="008C1AD0"/>
    <w:rsid w:val="008C1C9A"/>
    <w:rsid w:val="008C1D39"/>
    <w:rsid w:val="008C1F1E"/>
    <w:rsid w:val="008C2475"/>
    <w:rsid w:val="008C24AE"/>
    <w:rsid w:val="008C2704"/>
    <w:rsid w:val="008C276D"/>
    <w:rsid w:val="008C2842"/>
    <w:rsid w:val="008C2B5B"/>
    <w:rsid w:val="008C334A"/>
    <w:rsid w:val="008C376D"/>
    <w:rsid w:val="008C3A0C"/>
    <w:rsid w:val="008C47D9"/>
    <w:rsid w:val="008C4B8A"/>
    <w:rsid w:val="008C4C32"/>
    <w:rsid w:val="008C4C9A"/>
    <w:rsid w:val="008C4CA8"/>
    <w:rsid w:val="008C4CE8"/>
    <w:rsid w:val="008C4E67"/>
    <w:rsid w:val="008C4ED3"/>
    <w:rsid w:val="008C4F38"/>
    <w:rsid w:val="008C5AC5"/>
    <w:rsid w:val="008C5D09"/>
    <w:rsid w:val="008C5DA9"/>
    <w:rsid w:val="008C5F4C"/>
    <w:rsid w:val="008C61F0"/>
    <w:rsid w:val="008C6257"/>
    <w:rsid w:val="008C6332"/>
    <w:rsid w:val="008C63C7"/>
    <w:rsid w:val="008C63CB"/>
    <w:rsid w:val="008C6D92"/>
    <w:rsid w:val="008C703A"/>
    <w:rsid w:val="008C72B2"/>
    <w:rsid w:val="008C72E0"/>
    <w:rsid w:val="008C731A"/>
    <w:rsid w:val="008C736B"/>
    <w:rsid w:val="008C7A20"/>
    <w:rsid w:val="008C7B56"/>
    <w:rsid w:val="008C7D07"/>
    <w:rsid w:val="008C7D40"/>
    <w:rsid w:val="008C7E5A"/>
    <w:rsid w:val="008D0308"/>
    <w:rsid w:val="008D03C9"/>
    <w:rsid w:val="008D06F1"/>
    <w:rsid w:val="008D0778"/>
    <w:rsid w:val="008D0946"/>
    <w:rsid w:val="008D0F25"/>
    <w:rsid w:val="008D0FA0"/>
    <w:rsid w:val="008D1293"/>
    <w:rsid w:val="008D142D"/>
    <w:rsid w:val="008D14C6"/>
    <w:rsid w:val="008D1D7F"/>
    <w:rsid w:val="008D2279"/>
    <w:rsid w:val="008D26FF"/>
    <w:rsid w:val="008D2979"/>
    <w:rsid w:val="008D297B"/>
    <w:rsid w:val="008D2BDC"/>
    <w:rsid w:val="008D2D54"/>
    <w:rsid w:val="008D30E7"/>
    <w:rsid w:val="008D3BCC"/>
    <w:rsid w:val="008D3C94"/>
    <w:rsid w:val="008D417B"/>
    <w:rsid w:val="008D4239"/>
    <w:rsid w:val="008D4527"/>
    <w:rsid w:val="008D463B"/>
    <w:rsid w:val="008D4B11"/>
    <w:rsid w:val="008D4E35"/>
    <w:rsid w:val="008D523B"/>
    <w:rsid w:val="008D5400"/>
    <w:rsid w:val="008D5E6F"/>
    <w:rsid w:val="008D603B"/>
    <w:rsid w:val="008D64B3"/>
    <w:rsid w:val="008D654E"/>
    <w:rsid w:val="008D6607"/>
    <w:rsid w:val="008D6627"/>
    <w:rsid w:val="008D6829"/>
    <w:rsid w:val="008D68EF"/>
    <w:rsid w:val="008D7331"/>
    <w:rsid w:val="008D74E6"/>
    <w:rsid w:val="008D7620"/>
    <w:rsid w:val="008D786E"/>
    <w:rsid w:val="008D78F1"/>
    <w:rsid w:val="008D7BA8"/>
    <w:rsid w:val="008D7CFB"/>
    <w:rsid w:val="008E0087"/>
    <w:rsid w:val="008E00DF"/>
    <w:rsid w:val="008E04C2"/>
    <w:rsid w:val="008E0557"/>
    <w:rsid w:val="008E078A"/>
    <w:rsid w:val="008E09BD"/>
    <w:rsid w:val="008E0B2A"/>
    <w:rsid w:val="008E0D04"/>
    <w:rsid w:val="008E0DF5"/>
    <w:rsid w:val="008E12C7"/>
    <w:rsid w:val="008E1992"/>
    <w:rsid w:val="008E1A51"/>
    <w:rsid w:val="008E1BE5"/>
    <w:rsid w:val="008E1D07"/>
    <w:rsid w:val="008E1E58"/>
    <w:rsid w:val="008E2314"/>
    <w:rsid w:val="008E25D3"/>
    <w:rsid w:val="008E2B41"/>
    <w:rsid w:val="008E2C13"/>
    <w:rsid w:val="008E31A2"/>
    <w:rsid w:val="008E35A7"/>
    <w:rsid w:val="008E3671"/>
    <w:rsid w:val="008E375C"/>
    <w:rsid w:val="008E3905"/>
    <w:rsid w:val="008E3B0A"/>
    <w:rsid w:val="008E3DEB"/>
    <w:rsid w:val="008E3E22"/>
    <w:rsid w:val="008E3E37"/>
    <w:rsid w:val="008E4055"/>
    <w:rsid w:val="008E40CF"/>
    <w:rsid w:val="008E4460"/>
    <w:rsid w:val="008E456B"/>
    <w:rsid w:val="008E4956"/>
    <w:rsid w:val="008E4A12"/>
    <w:rsid w:val="008E59ED"/>
    <w:rsid w:val="008E5ACD"/>
    <w:rsid w:val="008E5D56"/>
    <w:rsid w:val="008E6279"/>
    <w:rsid w:val="008E6734"/>
    <w:rsid w:val="008E67DA"/>
    <w:rsid w:val="008E6AA3"/>
    <w:rsid w:val="008E6EDF"/>
    <w:rsid w:val="008E7103"/>
    <w:rsid w:val="008E71A9"/>
    <w:rsid w:val="008E72BF"/>
    <w:rsid w:val="008E7423"/>
    <w:rsid w:val="008E7A87"/>
    <w:rsid w:val="008E7AF7"/>
    <w:rsid w:val="008F0189"/>
    <w:rsid w:val="008F0239"/>
    <w:rsid w:val="008F0259"/>
    <w:rsid w:val="008F0550"/>
    <w:rsid w:val="008F0AB2"/>
    <w:rsid w:val="008F0D33"/>
    <w:rsid w:val="008F0EB9"/>
    <w:rsid w:val="008F101A"/>
    <w:rsid w:val="008F1121"/>
    <w:rsid w:val="008F1243"/>
    <w:rsid w:val="008F1B6A"/>
    <w:rsid w:val="008F1BA2"/>
    <w:rsid w:val="008F224A"/>
    <w:rsid w:val="008F24DD"/>
    <w:rsid w:val="008F24E7"/>
    <w:rsid w:val="008F2757"/>
    <w:rsid w:val="008F2DD9"/>
    <w:rsid w:val="008F2F36"/>
    <w:rsid w:val="008F304E"/>
    <w:rsid w:val="008F31CE"/>
    <w:rsid w:val="008F3388"/>
    <w:rsid w:val="008F3C6D"/>
    <w:rsid w:val="008F3F0F"/>
    <w:rsid w:val="008F4630"/>
    <w:rsid w:val="008F4C4F"/>
    <w:rsid w:val="008F4EA6"/>
    <w:rsid w:val="008F4F11"/>
    <w:rsid w:val="008F5083"/>
    <w:rsid w:val="008F51F9"/>
    <w:rsid w:val="008F555F"/>
    <w:rsid w:val="008F5BD1"/>
    <w:rsid w:val="008F5BD8"/>
    <w:rsid w:val="008F5C61"/>
    <w:rsid w:val="008F60E7"/>
    <w:rsid w:val="008F62BA"/>
    <w:rsid w:val="008F658A"/>
    <w:rsid w:val="008F7222"/>
    <w:rsid w:val="008F7560"/>
    <w:rsid w:val="008F77F8"/>
    <w:rsid w:val="008F7825"/>
    <w:rsid w:val="008F7F17"/>
    <w:rsid w:val="008F7F5B"/>
    <w:rsid w:val="009003CB"/>
    <w:rsid w:val="0090044C"/>
    <w:rsid w:val="00900480"/>
    <w:rsid w:val="00900569"/>
    <w:rsid w:val="009006FA"/>
    <w:rsid w:val="00900893"/>
    <w:rsid w:val="00900B59"/>
    <w:rsid w:val="00900BA9"/>
    <w:rsid w:val="00900F2E"/>
    <w:rsid w:val="009011BC"/>
    <w:rsid w:val="00901668"/>
    <w:rsid w:val="0090169A"/>
    <w:rsid w:val="00901A7A"/>
    <w:rsid w:val="00901F3F"/>
    <w:rsid w:val="00902B78"/>
    <w:rsid w:val="00903E20"/>
    <w:rsid w:val="00903FFB"/>
    <w:rsid w:val="00904686"/>
    <w:rsid w:val="009047DB"/>
    <w:rsid w:val="0090509D"/>
    <w:rsid w:val="009053DB"/>
    <w:rsid w:val="0090598D"/>
    <w:rsid w:val="00905B2F"/>
    <w:rsid w:val="00905D5E"/>
    <w:rsid w:val="00905F39"/>
    <w:rsid w:val="00906209"/>
    <w:rsid w:val="00906729"/>
    <w:rsid w:val="009068C3"/>
    <w:rsid w:val="00906902"/>
    <w:rsid w:val="00906C28"/>
    <w:rsid w:val="00906C61"/>
    <w:rsid w:val="00907031"/>
    <w:rsid w:val="00907217"/>
    <w:rsid w:val="00907614"/>
    <w:rsid w:val="009079FE"/>
    <w:rsid w:val="00907B36"/>
    <w:rsid w:val="00907BD2"/>
    <w:rsid w:val="0091084D"/>
    <w:rsid w:val="00910F52"/>
    <w:rsid w:val="00911078"/>
    <w:rsid w:val="009111E3"/>
    <w:rsid w:val="009111FD"/>
    <w:rsid w:val="0091148C"/>
    <w:rsid w:val="009116F7"/>
    <w:rsid w:val="00911877"/>
    <w:rsid w:val="00911AAC"/>
    <w:rsid w:val="00912819"/>
    <w:rsid w:val="00912882"/>
    <w:rsid w:val="00912981"/>
    <w:rsid w:val="00912984"/>
    <w:rsid w:val="009129BA"/>
    <w:rsid w:val="00912B94"/>
    <w:rsid w:val="0091312F"/>
    <w:rsid w:val="0091322D"/>
    <w:rsid w:val="009135B3"/>
    <w:rsid w:val="009136A0"/>
    <w:rsid w:val="009137AA"/>
    <w:rsid w:val="0091381F"/>
    <w:rsid w:val="009139D3"/>
    <w:rsid w:val="00913A06"/>
    <w:rsid w:val="00913B0E"/>
    <w:rsid w:val="00914002"/>
    <w:rsid w:val="00914077"/>
    <w:rsid w:val="00914104"/>
    <w:rsid w:val="00914193"/>
    <w:rsid w:val="00914996"/>
    <w:rsid w:val="00914AF7"/>
    <w:rsid w:val="00914C39"/>
    <w:rsid w:val="00914E76"/>
    <w:rsid w:val="00914EFD"/>
    <w:rsid w:val="00914FE4"/>
    <w:rsid w:val="00915239"/>
    <w:rsid w:val="009153FF"/>
    <w:rsid w:val="009154D3"/>
    <w:rsid w:val="00915930"/>
    <w:rsid w:val="00915A7E"/>
    <w:rsid w:val="00915CC3"/>
    <w:rsid w:val="009161C1"/>
    <w:rsid w:val="009164B4"/>
    <w:rsid w:val="0091653C"/>
    <w:rsid w:val="009166CE"/>
    <w:rsid w:val="0091691C"/>
    <w:rsid w:val="00916CAD"/>
    <w:rsid w:val="0091720E"/>
    <w:rsid w:val="00917222"/>
    <w:rsid w:val="00917263"/>
    <w:rsid w:val="00917364"/>
    <w:rsid w:val="00917814"/>
    <w:rsid w:val="00920004"/>
    <w:rsid w:val="00920410"/>
    <w:rsid w:val="00920500"/>
    <w:rsid w:val="00920870"/>
    <w:rsid w:val="00920B07"/>
    <w:rsid w:val="00920CE3"/>
    <w:rsid w:val="0092143F"/>
    <w:rsid w:val="0092193A"/>
    <w:rsid w:val="00921BE4"/>
    <w:rsid w:val="009222D3"/>
    <w:rsid w:val="00922504"/>
    <w:rsid w:val="00922A77"/>
    <w:rsid w:val="009230B3"/>
    <w:rsid w:val="0092333E"/>
    <w:rsid w:val="00923F24"/>
    <w:rsid w:val="009243BF"/>
    <w:rsid w:val="00924653"/>
    <w:rsid w:val="0092492A"/>
    <w:rsid w:val="00924E9D"/>
    <w:rsid w:val="009253BE"/>
    <w:rsid w:val="009255C9"/>
    <w:rsid w:val="00925806"/>
    <w:rsid w:val="009258EE"/>
    <w:rsid w:val="00925A47"/>
    <w:rsid w:val="00925E72"/>
    <w:rsid w:val="00925F97"/>
    <w:rsid w:val="00926092"/>
    <w:rsid w:val="009262F0"/>
    <w:rsid w:val="00926541"/>
    <w:rsid w:val="009265B4"/>
    <w:rsid w:val="0092691E"/>
    <w:rsid w:val="00926B88"/>
    <w:rsid w:val="00926B8E"/>
    <w:rsid w:val="00927589"/>
    <w:rsid w:val="009279B3"/>
    <w:rsid w:val="00927A69"/>
    <w:rsid w:val="00927B19"/>
    <w:rsid w:val="00927C47"/>
    <w:rsid w:val="00930007"/>
    <w:rsid w:val="0093053A"/>
    <w:rsid w:val="0093076F"/>
    <w:rsid w:val="00930A0B"/>
    <w:rsid w:val="00930C4F"/>
    <w:rsid w:val="00930C9F"/>
    <w:rsid w:val="00930E14"/>
    <w:rsid w:val="00930ECD"/>
    <w:rsid w:val="0093177F"/>
    <w:rsid w:val="00931944"/>
    <w:rsid w:val="00931F7F"/>
    <w:rsid w:val="00932015"/>
    <w:rsid w:val="00932096"/>
    <w:rsid w:val="00932257"/>
    <w:rsid w:val="009323C9"/>
    <w:rsid w:val="0093247D"/>
    <w:rsid w:val="00932EB9"/>
    <w:rsid w:val="0093351D"/>
    <w:rsid w:val="0093353A"/>
    <w:rsid w:val="00933953"/>
    <w:rsid w:val="00933B94"/>
    <w:rsid w:val="00933BD8"/>
    <w:rsid w:val="0093411E"/>
    <w:rsid w:val="009341F5"/>
    <w:rsid w:val="009344D9"/>
    <w:rsid w:val="00934644"/>
    <w:rsid w:val="00934842"/>
    <w:rsid w:val="00934E19"/>
    <w:rsid w:val="00934E1C"/>
    <w:rsid w:val="009356C6"/>
    <w:rsid w:val="009357F2"/>
    <w:rsid w:val="00935A7A"/>
    <w:rsid w:val="00935F0E"/>
    <w:rsid w:val="00936189"/>
    <w:rsid w:val="00936589"/>
    <w:rsid w:val="00936927"/>
    <w:rsid w:val="0093694A"/>
    <w:rsid w:val="00936A69"/>
    <w:rsid w:val="00936C31"/>
    <w:rsid w:val="00936E11"/>
    <w:rsid w:val="00936E55"/>
    <w:rsid w:val="00936F20"/>
    <w:rsid w:val="00937168"/>
    <w:rsid w:val="0093743A"/>
    <w:rsid w:val="00937475"/>
    <w:rsid w:val="009374C0"/>
    <w:rsid w:val="00937633"/>
    <w:rsid w:val="00937765"/>
    <w:rsid w:val="0093785F"/>
    <w:rsid w:val="00937A89"/>
    <w:rsid w:val="00937AF7"/>
    <w:rsid w:val="00937CF2"/>
    <w:rsid w:val="00937DE5"/>
    <w:rsid w:val="00940285"/>
    <w:rsid w:val="0094086E"/>
    <w:rsid w:val="009408D0"/>
    <w:rsid w:val="00940979"/>
    <w:rsid w:val="0094098D"/>
    <w:rsid w:val="00940AD9"/>
    <w:rsid w:val="00940B7B"/>
    <w:rsid w:val="00940C0A"/>
    <w:rsid w:val="00940D6D"/>
    <w:rsid w:val="009410A6"/>
    <w:rsid w:val="00941311"/>
    <w:rsid w:val="00941366"/>
    <w:rsid w:val="0094154B"/>
    <w:rsid w:val="00941719"/>
    <w:rsid w:val="009417DC"/>
    <w:rsid w:val="00941AA7"/>
    <w:rsid w:val="00941AEC"/>
    <w:rsid w:val="00941EF7"/>
    <w:rsid w:val="009427C9"/>
    <w:rsid w:val="009427EC"/>
    <w:rsid w:val="00942821"/>
    <w:rsid w:val="0094286B"/>
    <w:rsid w:val="009429D2"/>
    <w:rsid w:val="00942C50"/>
    <w:rsid w:val="00942D74"/>
    <w:rsid w:val="00943524"/>
    <w:rsid w:val="00943968"/>
    <w:rsid w:val="00943D75"/>
    <w:rsid w:val="00943F58"/>
    <w:rsid w:val="009440C8"/>
    <w:rsid w:val="00944118"/>
    <w:rsid w:val="009441BA"/>
    <w:rsid w:val="009442A3"/>
    <w:rsid w:val="009442D1"/>
    <w:rsid w:val="0094433C"/>
    <w:rsid w:val="0094439D"/>
    <w:rsid w:val="00944899"/>
    <w:rsid w:val="009449A8"/>
    <w:rsid w:val="00944BEF"/>
    <w:rsid w:val="00944F5A"/>
    <w:rsid w:val="00945197"/>
    <w:rsid w:val="00945559"/>
    <w:rsid w:val="00945653"/>
    <w:rsid w:val="009456E3"/>
    <w:rsid w:val="00945753"/>
    <w:rsid w:val="00945C29"/>
    <w:rsid w:val="00945C3B"/>
    <w:rsid w:val="00945CAA"/>
    <w:rsid w:val="00945D19"/>
    <w:rsid w:val="0094689D"/>
    <w:rsid w:val="00946E05"/>
    <w:rsid w:val="009472A6"/>
    <w:rsid w:val="009474F3"/>
    <w:rsid w:val="00947689"/>
    <w:rsid w:val="00947C63"/>
    <w:rsid w:val="00947E9F"/>
    <w:rsid w:val="009502B4"/>
    <w:rsid w:val="00950745"/>
    <w:rsid w:val="009507BE"/>
    <w:rsid w:val="00950A88"/>
    <w:rsid w:val="00950AB3"/>
    <w:rsid w:val="00950C01"/>
    <w:rsid w:val="00950DDD"/>
    <w:rsid w:val="00951086"/>
    <w:rsid w:val="00951460"/>
    <w:rsid w:val="0095166D"/>
    <w:rsid w:val="009518A8"/>
    <w:rsid w:val="00951AC1"/>
    <w:rsid w:val="00951AF8"/>
    <w:rsid w:val="00951B81"/>
    <w:rsid w:val="00951F30"/>
    <w:rsid w:val="00952094"/>
    <w:rsid w:val="00952353"/>
    <w:rsid w:val="00952387"/>
    <w:rsid w:val="009523A8"/>
    <w:rsid w:val="00952596"/>
    <w:rsid w:val="00952660"/>
    <w:rsid w:val="0095291A"/>
    <w:rsid w:val="00952940"/>
    <w:rsid w:val="009529C4"/>
    <w:rsid w:val="00952B44"/>
    <w:rsid w:val="00952E9E"/>
    <w:rsid w:val="0095363B"/>
    <w:rsid w:val="0095377D"/>
    <w:rsid w:val="00953816"/>
    <w:rsid w:val="00953852"/>
    <w:rsid w:val="009549B0"/>
    <w:rsid w:val="00954D02"/>
    <w:rsid w:val="00954FE5"/>
    <w:rsid w:val="00955022"/>
    <w:rsid w:val="009555C5"/>
    <w:rsid w:val="0095571A"/>
    <w:rsid w:val="00955A6B"/>
    <w:rsid w:val="00955AC2"/>
    <w:rsid w:val="00955BA1"/>
    <w:rsid w:val="00955CCD"/>
    <w:rsid w:val="00955F19"/>
    <w:rsid w:val="00955F1D"/>
    <w:rsid w:val="009560A0"/>
    <w:rsid w:val="009568BF"/>
    <w:rsid w:val="00956DB7"/>
    <w:rsid w:val="009576B1"/>
    <w:rsid w:val="009579A9"/>
    <w:rsid w:val="00957EA3"/>
    <w:rsid w:val="00960025"/>
    <w:rsid w:val="009600BE"/>
    <w:rsid w:val="0096031C"/>
    <w:rsid w:val="009609E3"/>
    <w:rsid w:val="009610C4"/>
    <w:rsid w:val="0096136D"/>
    <w:rsid w:val="00961910"/>
    <w:rsid w:val="00961C9D"/>
    <w:rsid w:val="00961CAC"/>
    <w:rsid w:val="009626BA"/>
    <w:rsid w:val="009631E6"/>
    <w:rsid w:val="00963273"/>
    <w:rsid w:val="00963274"/>
    <w:rsid w:val="0096328B"/>
    <w:rsid w:val="009632D0"/>
    <w:rsid w:val="009635C6"/>
    <w:rsid w:val="00963920"/>
    <w:rsid w:val="00963CD2"/>
    <w:rsid w:val="00963E47"/>
    <w:rsid w:val="00963EE6"/>
    <w:rsid w:val="0096427C"/>
    <w:rsid w:val="009644D1"/>
    <w:rsid w:val="009645C6"/>
    <w:rsid w:val="009645DB"/>
    <w:rsid w:val="009646C4"/>
    <w:rsid w:val="009648B9"/>
    <w:rsid w:val="0096496B"/>
    <w:rsid w:val="00964B75"/>
    <w:rsid w:val="00964EB9"/>
    <w:rsid w:val="00965001"/>
    <w:rsid w:val="009655E4"/>
    <w:rsid w:val="00965B1E"/>
    <w:rsid w:val="00966021"/>
    <w:rsid w:val="00966159"/>
    <w:rsid w:val="009661DC"/>
    <w:rsid w:val="009664C2"/>
    <w:rsid w:val="00966807"/>
    <w:rsid w:val="00967D7F"/>
    <w:rsid w:val="00967E77"/>
    <w:rsid w:val="00967F6C"/>
    <w:rsid w:val="00970519"/>
    <w:rsid w:val="00970536"/>
    <w:rsid w:val="00970702"/>
    <w:rsid w:val="0097090B"/>
    <w:rsid w:val="00970B1D"/>
    <w:rsid w:val="0097114F"/>
    <w:rsid w:val="009713D1"/>
    <w:rsid w:val="00971790"/>
    <w:rsid w:val="00971957"/>
    <w:rsid w:val="00971A05"/>
    <w:rsid w:val="00971CB0"/>
    <w:rsid w:val="00971DF4"/>
    <w:rsid w:val="00971E0A"/>
    <w:rsid w:val="00971F91"/>
    <w:rsid w:val="009720A3"/>
    <w:rsid w:val="00972223"/>
    <w:rsid w:val="0097237B"/>
    <w:rsid w:val="00972901"/>
    <w:rsid w:val="00972A10"/>
    <w:rsid w:val="00972ACE"/>
    <w:rsid w:val="00972E4E"/>
    <w:rsid w:val="00973346"/>
    <w:rsid w:val="009736CF"/>
    <w:rsid w:val="00973AAF"/>
    <w:rsid w:val="00973E34"/>
    <w:rsid w:val="00974253"/>
    <w:rsid w:val="0097439C"/>
    <w:rsid w:val="009745F5"/>
    <w:rsid w:val="009748EF"/>
    <w:rsid w:val="00974CF1"/>
    <w:rsid w:val="00974E16"/>
    <w:rsid w:val="00975403"/>
    <w:rsid w:val="00975508"/>
    <w:rsid w:val="0097557F"/>
    <w:rsid w:val="00975782"/>
    <w:rsid w:val="00975C81"/>
    <w:rsid w:val="00976060"/>
    <w:rsid w:val="009760DC"/>
    <w:rsid w:val="009762E9"/>
    <w:rsid w:val="009767E0"/>
    <w:rsid w:val="00976F36"/>
    <w:rsid w:val="0097731D"/>
    <w:rsid w:val="00977336"/>
    <w:rsid w:val="009774EC"/>
    <w:rsid w:val="00977A14"/>
    <w:rsid w:val="00977EA7"/>
    <w:rsid w:val="009804E9"/>
    <w:rsid w:val="00980597"/>
    <w:rsid w:val="00980955"/>
    <w:rsid w:val="00980D09"/>
    <w:rsid w:val="00980F6F"/>
    <w:rsid w:val="009811AF"/>
    <w:rsid w:val="00981407"/>
    <w:rsid w:val="00981655"/>
    <w:rsid w:val="0098181B"/>
    <w:rsid w:val="00981A1D"/>
    <w:rsid w:val="00981A29"/>
    <w:rsid w:val="00981E1D"/>
    <w:rsid w:val="00981F53"/>
    <w:rsid w:val="0098210F"/>
    <w:rsid w:val="009822DB"/>
    <w:rsid w:val="00982578"/>
    <w:rsid w:val="0098276B"/>
    <w:rsid w:val="00982D78"/>
    <w:rsid w:val="0098302A"/>
    <w:rsid w:val="00983196"/>
    <w:rsid w:val="00983248"/>
    <w:rsid w:val="009832BC"/>
    <w:rsid w:val="009835AA"/>
    <w:rsid w:val="00983831"/>
    <w:rsid w:val="00983F43"/>
    <w:rsid w:val="009842D7"/>
    <w:rsid w:val="00984352"/>
    <w:rsid w:val="009847B9"/>
    <w:rsid w:val="00984E5D"/>
    <w:rsid w:val="00984FB4"/>
    <w:rsid w:val="0098539C"/>
    <w:rsid w:val="00985403"/>
    <w:rsid w:val="00985701"/>
    <w:rsid w:val="00985825"/>
    <w:rsid w:val="00985C46"/>
    <w:rsid w:val="00985DB9"/>
    <w:rsid w:val="009863F4"/>
    <w:rsid w:val="009865C9"/>
    <w:rsid w:val="0098668E"/>
    <w:rsid w:val="00986773"/>
    <w:rsid w:val="0098685C"/>
    <w:rsid w:val="00986860"/>
    <w:rsid w:val="009868F0"/>
    <w:rsid w:val="00986B3B"/>
    <w:rsid w:val="00986BC6"/>
    <w:rsid w:val="00987098"/>
    <w:rsid w:val="009874B4"/>
    <w:rsid w:val="00987662"/>
    <w:rsid w:val="0098771F"/>
    <w:rsid w:val="00987824"/>
    <w:rsid w:val="00990215"/>
    <w:rsid w:val="00990664"/>
    <w:rsid w:val="00990786"/>
    <w:rsid w:val="00990892"/>
    <w:rsid w:val="00990AD0"/>
    <w:rsid w:val="00990AD1"/>
    <w:rsid w:val="00990B77"/>
    <w:rsid w:val="00990D70"/>
    <w:rsid w:val="00990FDA"/>
    <w:rsid w:val="009910FC"/>
    <w:rsid w:val="0099147C"/>
    <w:rsid w:val="00991521"/>
    <w:rsid w:val="00991A97"/>
    <w:rsid w:val="00991F98"/>
    <w:rsid w:val="0099289A"/>
    <w:rsid w:val="00992A16"/>
    <w:rsid w:val="00992A5C"/>
    <w:rsid w:val="00992B16"/>
    <w:rsid w:val="00992DA7"/>
    <w:rsid w:val="00992F17"/>
    <w:rsid w:val="0099343F"/>
    <w:rsid w:val="009934F8"/>
    <w:rsid w:val="00993A99"/>
    <w:rsid w:val="009945A4"/>
    <w:rsid w:val="00994860"/>
    <w:rsid w:val="009948D5"/>
    <w:rsid w:val="00994920"/>
    <w:rsid w:val="00994BFB"/>
    <w:rsid w:val="00994C16"/>
    <w:rsid w:val="00994CA7"/>
    <w:rsid w:val="00995602"/>
    <w:rsid w:val="00995774"/>
    <w:rsid w:val="00995C6A"/>
    <w:rsid w:val="00995C96"/>
    <w:rsid w:val="009960BF"/>
    <w:rsid w:val="009962BC"/>
    <w:rsid w:val="009963BD"/>
    <w:rsid w:val="00996577"/>
    <w:rsid w:val="00996769"/>
    <w:rsid w:val="00996886"/>
    <w:rsid w:val="009969E9"/>
    <w:rsid w:val="00996D1E"/>
    <w:rsid w:val="009971CD"/>
    <w:rsid w:val="009979B3"/>
    <w:rsid w:val="009979C1"/>
    <w:rsid w:val="009A0AA8"/>
    <w:rsid w:val="009A0D47"/>
    <w:rsid w:val="009A0DA1"/>
    <w:rsid w:val="009A0E23"/>
    <w:rsid w:val="009A1000"/>
    <w:rsid w:val="009A10D4"/>
    <w:rsid w:val="009A12A0"/>
    <w:rsid w:val="009A13BF"/>
    <w:rsid w:val="009A13CA"/>
    <w:rsid w:val="009A15DD"/>
    <w:rsid w:val="009A1788"/>
    <w:rsid w:val="009A199F"/>
    <w:rsid w:val="009A19F5"/>
    <w:rsid w:val="009A1E27"/>
    <w:rsid w:val="009A2172"/>
    <w:rsid w:val="009A22D8"/>
    <w:rsid w:val="009A27FB"/>
    <w:rsid w:val="009A2CEB"/>
    <w:rsid w:val="009A2DB2"/>
    <w:rsid w:val="009A3082"/>
    <w:rsid w:val="009A31E2"/>
    <w:rsid w:val="009A359E"/>
    <w:rsid w:val="009A37B5"/>
    <w:rsid w:val="009A3967"/>
    <w:rsid w:val="009A3B65"/>
    <w:rsid w:val="009A3CE9"/>
    <w:rsid w:val="009A3D13"/>
    <w:rsid w:val="009A453C"/>
    <w:rsid w:val="009A46ED"/>
    <w:rsid w:val="009A4824"/>
    <w:rsid w:val="009A48A8"/>
    <w:rsid w:val="009A49E6"/>
    <w:rsid w:val="009A49FE"/>
    <w:rsid w:val="009A4EA4"/>
    <w:rsid w:val="009A4F40"/>
    <w:rsid w:val="009A5233"/>
    <w:rsid w:val="009A52C5"/>
    <w:rsid w:val="009A5820"/>
    <w:rsid w:val="009A58BC"/>
    <w:rsid w:val="009A5C51"/>
    <w:rsid w:val="009A60E6"/>
    <w:rsid w:val="009A616F"/>
    <w:rsid w:val="009A6303"/>
    <w:rsid w:val="009A6318"/>
    <w:rsid w:val="009A65FA"/>
    <w:rsid w:val="009A6D10"/>
    <w:rsid w:val="009A72F5"/>
    <w:rsid w:val="009A7BEE"/>
    <w:rsid w:val="009B022C"/>
    <w:rsid w:val="009B02C6"/>
    <w:rsid w:val="009B043A"/>
    <w:rsid w:val="009B0870"/>
    <w:rsid w:val="009B08B5"/>
    <w:rsid w:val="009B11C4"/>
    <w:rsid w:val="009B17DB"/>
    <w:rsid w:val="009B17EC"/>
    <w:rsid w:val="009B1CDD"/>
    <w:rsid w:val="009B1F2F"/>
    <w:rsid w:val="009B208D"/>
    <w:rsid w:val="009B213B"/>
    <w:rsid w:val="009B2325"/>
    <w:rsid w:val="009B2571"/>
    <w:rsid w:val="009B2954"/>
    <w:rsid w:val="009B32C4"/>
    <w:rsid w:val="009B397D"/>
    <w:rsid w:val="009B3D90"/>
    <w:rsid w:val="009B3E47"/>
    <w:rsid w:val="009B43F3"/>
    <w:rsid w:val="009B48F3"/>
    <w:rsid w:val="009B4960"/>
    <w:rsid w:val="009B50EF"/>
    <w:rsid w:val="009B55D2"/>
    <w:rsid w:val="009B58D7"/>
    <w:rsid w:val="009B5B4A"/>
    <w:rsid w:val="009B5DC6"/>
    <w:rsid w:val="009B6402"/>
    <w:rsid w:val="009B670C"/>
    <w:rsid w:val="009B6D94"/>
    <w:rsid w:val="009B6F7F"/>
    <w:rsid w:val="009B709F"/>
    <w:rsid w:val="009B7168"/>
    <w:rsid w:val="009B721D"/>
    <w:rsid w:val="009B75FA"/>
    <w:rsid w:val="009B7AB8"/>
    <w:rsid w:val="009B7C44"/>
    <w:rsid w:val="009B7E25"/>
    <w:rsid w:val="009C054E"/>
    <w:rsid w:val="009C061B"/>
    <w:rsid w:val="009C0824"/>
    <w:rsid w:val="009C091A"/>
    <w:rsid w:val="009C0B81"/>
    <w:rsid w:val="009C0DF2"/>
    <w:rsid w:val="009C1308"/>
    <w:rsid w:val="009C1355"/>
    <w:rsid w:val="009C14A2"/>
    <w:rsid w:val="009C14D6"/>
    <w:rsid w:val="009C1524"/>
    <w:rsid w:val="009C178A"/>
    <w:rsid w:val="009C1A19"/>
    <w:rsid w:val="009C1AF5"/>
    <w:rsid w:val="009C2012"/>
    <w:rsid w:val="009C202E"/>
    <w:rsid w:val="009C2618"/>
    <w:rsid w:val="009C267C"/>
    <w:rsid w:val="009C283F"/>
    <w:rsid w:val="009C2A09"/>
    <w:rsid w:val="009C2E9E"/>
    <w:rsid w:val="009C3151"/>
    <w:rsid w:val="009C329B"/>
    <w:rsid w:val="009C33C0"/>
    <w:rsid w:val="009C3549"/>
    <w:rsid w:val="009C3915"/>
    <w:rsid w:val="009C3C0D"/>
    <w:rsid w:val="009C3D8B"/>
    <w:rsid w:val="009C4182"/>
    <w:rsid w:val="009C4323"/>
    <w:rsid w:val="009C4743"/>
    <w:rsid w:val="009C4B46"/>
    <w:rsid w:val="009C4DC8"/>
    <w:rsid w:val="009C4FC0"/>
    <w:rsid w:val="009C527C"/>
    <w:rsid w:val="009C53C0"/>
    <w:rsid w:val="009C54BF"/>
    <w:rsid w:val="009C55E2"/>
    <w:rsid w:val="009C56CB"/>
    <w:rsid w:val="009C58A2"/>
    <w:rsid w:val="009C5C42"/>
    <w:rsid w:val="009C629D"/>
    <w:rsid w:val="009C62C1"/>
    <w:rsid w:val="009C652B"/>
    <w:rsid w:val="009C667B"/>
    <w:rsid w:val="009C6921"/>
    <w:rsid w:val="009C6B9F"/>
    <w:rsid w:val="009C6D19"/>
    <w:rsid w:val="009C6D9D"/>
    <w:rsid w:val="009C7372"/>
    <w:rsid w:val="009C7EA0"/>
    <w:rsid w:val="009D01F5"/>
    <w:rsid w:val="009D0303"/>
    <w:rsid w:val="009D0702"/>
    <w:rsid w:val="009D07E6"/>
    <w:rsid w:val="009D0D66"/>
    <w:rsid w:val="009D0E18"/>
    <w:rsid w:val="009D16F8"/>
    <w:rsid w:val="009D1809"/>
    <w:rsid w:val="009D1B04"/>
    <w:rsid w:val="009D1B40"/>
    <w:rsid w:val="009D1D75"/>
    <w:rsid w:val="009D2277"/>
    <w:rsid w:val="009D2557"/>
    <w:rsid w:val="009D283C"/>
    <w:rsid w:val="009D2BC0"/>
    <w:rsid w:val="009D2CC3"/>
    <w:rsid w:val="009D3074"/>
    <w:rsid w:val="009D32DB"/>
    <w:rsid w:val="009D33BC"/>
    <w:rsid w:val="009D3511"/>
    <w:rsid w:val="009D39CA"/>
    <w:rsid w:val="009D3A48"/>
    <w:rsid w:val="009D44B2"/>
    <w:rsid w:val="009D4541"/>
    <w:rsid w:val="009D4941"/>
    <w:rsid w:val="009D4E04"/>
    <w:rsid w:val="009D4E8B"/>
    <w:rsid w:val="009D5FDB"/>
    <w:rsid w:val="009D665B"/>
    <w:rsid w:val="009D6764"/>
    <w:rsid w:val="009D6798"/>
    <w:rsid w:val="009D68F5"/>
    <w:rsid w:val="009D6970"/>
    <w:rsid w:val="009D6CA1"/>
    <w:rsid w:val="009D6EF3"/>
    <w:rsid w:val="009D6F47"/>
    <w:rsid w:val="009D7279"/>
    <w:rsid w:val="009D72F0"/>
    <w:rsid w:val="009D7620"/>
    <w:rsid w:val="009D7704"/>
    <w:rsid w:val="009D7CAA"/>
    <w:rsid w:val="009E0154"/>
    <w:rsid w:val="009E01A9"/>
    <w:rsid w:val="009E025E"/>
    <w:rsid w:val="009E032D"/>
    <w:rsid w:val="009E03FB"/>
    <w:rsid w:val="009E0647"/>
    <w:rsid w:val="009E0723"/>
    <w:rsid w:val="009E084D"/>
    <w:rsid w:val="009E0A0D"/>
    <w:rsid w:val="009E0B28"/>
    <w:rsid w:val="009E0C21"/>
    <w:rsid w:val="009E12D2"/>
    <w:rsid w:val="009E1816"/>
    <w:rsid w:val="009E1951"/>
    <w:rsid w:val="009E1F11"/>
    <w:rsid w:val="009E21B5"/>
    <w:rsid w:val="009E2632"/>
    <w:rsid w:val="009E26E4"/>
    <w:rsid w:val="009E2A18"/>
    <w:rsid w:val="009E2C7B"/>
    <w:rsid w:val="009E305E"/>
    <w:rsid w:val="009E30BF"/>
    <w:rsid w:val="009E31B3"/>
    <w:rsid w:val="009E3373"/>
    <w:rsid w:val="009E34A0"/>
    <w:rsid w:val="009E3765"/>
    <w:rsid w:val="009E3798"/>
    <w:rsid w:val="009E3A09"/>
    <w:rsid w:val="009E3A66"/>
    <w:rsid w:val="009E415F"/>
    <w:rsid w:val="009E43F2"/>
    <w:rsid w:val="009E444D"/>
    <w:rsid w:val="009E4A38"/>
    <w:rsid w:val="009E4D6E"/>
    <w:rsid w:val="009E5111"/>
    <w:rsid w:val="009E5CD8"/>
    <w:rsid w:val="009E6545"/>
    <w:rsid w:val="009E67C8"/>
    <w:rsid w:val="009E67E5"/>
    <w:rsid w:val="009E68B7"/>
    <w:rsid w:val="009E6CB6"/>
    <w:rsid w:val="009E6D75"/>
    <w:rsid w:val="009E7376"/>
    <w:rsid w:val="009E73FD"/>
    <w:rsid w:val="009E74C5"/>
    <w:rsid w:val="009E7A1E"/>
    <w:rsid w:val="009E7ABE"/>
    <w:rsid w:val="009F003F"/>
    <w:rsid w:val="009F07D1"/>
    <w:rsid w:val="009F0CE7"/>
    <w:rsid w:val="009F101D"/>
    <w:rsid w:val="009F12C1"/>
    <w:rsid w:val="009F157A"/>
    <w:rsid w:val="009F167B"/>
    <w:rsid w:val="009F190A"/>
    <w:rsid w:val="009F1CBB"/>
    <w:rsid w:val="009F1CD2"/>
    <w:rsid w:val="009F1DD4"/>
    <w:rsid w:val="009F1F33"/>
    <w:rsid w:val="009F2087"/>
    <w:rsid w:val="009F2317"/>
    <w:rsid w:val="009F2F2F"/>
    <w:rsid w:val="009F3361"/>
    <w:rsid w:val="009F34F5"/>
    <w:rsid w:val="009F3688"/>
    <w:rsid w:val="009F38C7"/>
    <w:rsid w:val="009F3EAE"/>
    <w:rsid w:val="009F4026"/>
    <w:rsid w:val="009F407B"/>
    <w:rsid w:val="009F41AE"/>
    <w:rsid w:val="009F44C3"/>
    <w:rsid w:val="009F4503"/>
    <w:rsid w:val="009F46AE"/>
    <w:rsid w:val="009F4736"/>
    <w:rsid w:val="009F4837"/>
    <w:rsid w:val="009F48B6"/>
    <w:rsid w:val="009F4909"/>
    <w:rsid w:val="009F4EE8"/>
    <w:rsid w:val="009F5068"/>
    <w:rsid w:val="009F50C3"/>
    <w:rsid w:val="009F5957"/>
    <w:rsid w:val="009F5B8C"/>
    <w:rsid w:val="009F64B4"/>
    <w:rsid w:val="009F655C"/>
    <w:rsid w:val="009F66F1"/>
    <w:rsid w:val="009F6AB3"/>
    <w:rsid w:val="009F7013"/>
    <w:rsid w:val="009F76BB"/>
    <w:rsid w:val="009F79D1"/>
    <w:rsid w:val="009F7AD0"/>
    <w:rsid w:val="009F7B5B"/>
    <w:rsid w:val="009F7FB5"/>
    <w:rsid w:val="00A0079C"/>
    <w:rsid w:val="00A009CF"/>
    <w:rsid w:val="00A00A05"/>
    <w:rsid w:val="00A00B25"/>
    <w:rsid w:val="00A00C63"/>
    <w:rsid w:val="00A00DED"/>
    <w:rsid w:val="00A010B7"/>
    <w:rsid w:val="00A011E2"/>
    <w:rsid w:val="00A01782"/>
    <w:rsid w:val="00A017A8"/>
    <w:rsid w:val="00A01D02"/>
    <w:rsid w:val="00A01EAB"/>
    <w:rsid w:val="00A021EF"/>
    <w:rsid w:val="00A0236A"/>
    <w:rsid w:val="00A025A3"/>
    <w:rsid w:val="00A026D7"/>
    <w:rsid w:val="00A028EB"/>
    <w:rsid w:val="00A0301D"/>
    <w:rsid w:val="00A03337"/>
    <w:rsid w:val="00A03603"/>
    <w:rsid w:val="00A0362F"/>
    <w:rsid w:val="00A039B5"/>
    <w:rsid w:val="00A03B69"/>
    <w:rsid w:val="00A03D9E"/>
    <w:rsid w:val="00A03F44"/>
    <w:rsid w:val="00A041EF"/>
    <w:rsid w:val="00A04868"/>
    <w:rsid w:val="00A048EB"/>
    <w:rsid w:val="00A04B50"/>
    <w:rsid w:val="00A050D6"/>
    <w:rsid w:val="00A05199"/>
    <w:rsid w:val="00A056A3"/>
    <w:rsid w:val="00A05922"/>
    <w:rsid w:val="00A05A8A"/>
    <w:rsid w:val="00A05B55"/>
    <w:rsid w:val="00A05E3B"/>
    <w:rsid w:val="00A05EF2"/>
    <w:rsid w:val="00A06380"/>
    <w:rsid w:val="00A06476"/>
    <w:rsid w:val="00A06BDD"/>
    <w:rsid w:val="00A06D03"/>
    <w:rsid w:val="00A06F65"/>
    <w:rsid w:val="00A06F8B"/>
    <w:rsid w:val="00A07245"/>
    <w:rsid w:val="00A0728A"/>
    <w:rsid w:val="00A0783A"/>
    <w:rsid w:val="00A07887"/>
    <w:rsid w:val="00A07A6C"/>
    <w:rsid w:val="00A07B48"/>
    <w:rsid w:val="00A07B6C"/>
    <w:rsid w:val="00A07C21"/>
    <w:rsid w:val="00A07F33"/>
    <w:rsid w:val="00A10079"/>
    <w:rsid w:val="00A101C7"/>
    <w:rsid w:val="00A10217"/>
    <w:rsid w:val="00A10305"/>
    <w:rsid w:val="00A103E4"/>
    <w:rsid w:val="00A1057D"/>
    <w:rsid w:val="00A105FD"/>
    <w:rsid w:val="00A106C8"/>
    <w:rsid w:val="00A10A74"/>
    <w:rsid w:val="00A10BCB"/>
    <w:rsid w:val="00A10C6A"/>
    <w:rsid w:val="00A10D5D"/>
    <w:rsid w:val="00A10DB4"/>
    <w:rsid w:val="00A10F0E"/>
    <w:rsid w:val="00A1104C"/>
    <w:rsid w:val="00A112A1"/>
    <w:rsid w:val="00A11CCB"/>
    <w:rsid w:val="00A11D4E"/>
    <w:rsid w:val="00A12089"/>
    <w:rsid w:val="00A12525"/>
    <w:rsid w:val="00A12B52"/>
    <w:rsid w:val="00A130EF"/>
    <w:rsid w:val="00A1357E"/>
    <w:rsid w:val="00A13C45"/>
    <w:rsid w:val="00A142AB"/>
    <w:rsid w:val="00A142BC"/>
    <w:rsid w:val="00A144D3"/>
    <w:rsid w:val="00A14659"/>
    <w:rsid w:val="00A1472F"/>
    <w:rsid w:val="00A147B2"/>
    <w:rsid w:val="00A14A78"/>
    <w:rsid w:val="00A14EA1"/>
    <w:rsid w:val="00A153C6"/>
    <w:rsid w:val="00A15493"/>
    <w:rsid w:val="00A156E6"/>
    <w:rsid w:val="00A161F8"/>
    <w:rsid w:val="00A162A3"/>
    <w:rsid w:val="00A163EC"/>
    <w:rsid w:val="00A1642C"/>
    <w:rsid w:val="00A166FF"/>
    <w:rsid w:val="00A16AE4"/>
    <w:rsid w:val="00A16E98"/>
    <w:rsid w:val="00A16EC3"/>
    <w:rsid w:val="00A17326"/>
    <w:rsid w:val="00A1736E"/>
    <w:rsid w:val="00A17418"/>
    <w:rsid w:val="00A1764E"/>
    <w:rsid w:val="00A17781"/>
    <w:rsid w:val="00A17E31"/>
    <w:rsid w:val="00A17F6A"/>
    <w:rsid w:val="00A201F6"/>
    <w:rsid w:val="00A20A25"/>
    <w:rsid w:val="00A2138C"/>
    <w:rsid w:val="00A21624"/>
    <w:rsid w:val="00A21A15"/>
    <w:rsid w:val="00A21BDB"/>
    <w:rsid w:val="00A21E0F"/>
    <w:rsid w:val="00A2206A"/>
    <w:rsid w:val="00A22467"/>
    <w:rsid w:val="00A224F3"/>
    <w:rsid w:val="00A22600"/>
    <w:rsid w:val="00A239AF"/>
    <w:rsid w:val="00A23A94"/>
    <w:rsid w:val="00A23AF9"/>
    <w:rsid w:val="00A23DDE"/>
    <w:rsid w:val="00A240C0"/>
    <w:rsid w:val="00A241B6"/>
    <w:rsid w:val="00A241CD"/>
    <w:rsid w:val="00A245B0"/>
    <w:rsid w:val="00A246F3"/>
    <w:rsid w:val="00A2496F"/>
    <w:rsid w:val="00A24A06"/>
    <w:rsid w:val="00A24A57"/>
    <w:rsid w:val="00A24E01"/>
    <w:rsid w:val="00A2532B"/>
    <w:rsid w:val="00A25351"/>
    <w:rsid w:val="00A2539C"/>
    <w:rsid w:val="00A25574"/>
    <w:rsid w:val="00A25AD3"/>
    <w:rsid w:val="00A25B53"/>
    <w:rsid w:val="00A261A5"/>
    <w:rsid w:val="00A2693A"/>
    <w:rsid w:val="00A26A49"/>
    <w:rsid w:val="00A26AC1"/>
    <w:rsid w:val="00A26D0C"/>
    <w:rsid w:val="00A26D54"/>
    <w:rsid w:val="00A26D6B"/>
    <w:rsid w:val="00A27190"/>
    <w:rsid w:val="00A273E5"/>
    <w:rsid w:val="00A27546"/>
    <w:rsid w:val="00A27716"/>
    <w:rsid w:val="00A27C6B"/>
    <w:rsid w:val="00A27D8D"/>
    <w:rsid w:val="00A27EB7"/>
    <w:rsid w:val="00A27F07"/>
    <w:rsid w:val="00A3077E"/>
    <w:rsid w:val="00A30789"/>
    <w:rsid w:val="00A3078A"/>
    <w:rsid w:val="00A309F9"/>
    <w:rsid w:val="00A30B17"/>
    <w:rsid w:val="00A30BB4"/>
    <w:rsid w:val="00A30D6E"/>
    <w:rsid w:val="00A31FEF"/>
    <w:rsid w:val="00A320F1"/>
    <w:rsid w:val="00A322E1"/>
    <w:rsid w:val="00A324A9"/>
    <w:rsid w:val="00A32BD2"/>
    <w:rsid w:val="00A32C6A"/>
    <w:rsid w:val="00A32F0D"/>
    <w:rsid w:val="00A32F2B"/>
    <w:rsid w:val="00A32F72"/>
    <w:rsid w:val="00A33460"/>
    <w:rsid w:val="00A33C71"/>
    <w:rsid w:val="00A33D54"/>
    <w:rsid w:val="00A343B9"/>
    <w:rsid w:val="00A34425"/>
    <w:rsid w:val="00A34560"/>
    <w:rsid w:val="00A34768"/>
    <w:rsid w:val="00A347AD"/>
    <w:rsid w:val="00A34907"/>
    <w:rsid w:val="00A35110"/>
    <w:rsid w:val="00A351D3"/>
    <w:rsid w:val="00A352F0"/>
    <w:rsid w:val="00A35816"/>
    <w:rsid w:val="00A35EC3"/>
    <w:rsid w:val="00A35EFA"/>
    <w:rsid w:val="00A361F5"/>
    <w:rsid w:val="00A3653F"/>
    <w:rsid w:val="00A368DA"/>
    <w:rsid w:val="00A36D1E"/>
    <w:rsid w:val="00A36D24"/>
    <w:rsid w:val="00A37565"/>
    <w:rsid w:val="00A37BD2"/>
    <w:rsid w:val="00A37E15"/>
    <w:rsid w:val="00A40216"/>
    <w:rsid w:val="00A40353"/>
    <w:rsid w:val="00A4058B"/>
    <w:rsid w:val="00A40656"/>
    <w:rsid w:val="00A4065A"/>
    <w:rsid w:val="00A407B9"/>
    <w:rsid w:val="00A40A49"/>
    <w:rsid w:val="00A40DAA"/>
    <w:rsid w:val="00A40E45"/>
    <w:rsid w:val="00A41013"/>
    <w:rsid w:val="00A4151A"/>
    <w:rsid w:val="00A41D60"/>
    <w:rsid w:val="00A42350"/>
    <w:rsid w:val="00A424CD"/>
    <w:rsid w:val="00A429E2"/>
    <w:rsid w:val="00A42A5B"/>
    <w:rsid w:val="00A42CD5"/>
    <w:rsid w:val="00A42DCC"/>
    <w:rsid w:val="00A42E7F"/>
    <w:rsid w:val="00A43455"/>
    <w:rsid w:val="00A4368A"/>
    <w:rsid w:val="00A43716"/>
    <w:rsid w:val="00A43964"/>
    <w:rsid w:val="00A43AB3"/>
    <w:rsid w:val="00A43AC7"/>
    <w:rsid w:val="00A43D35"/>
    <w:rsid w:val="00A43F27"/>
    <w:rsid w:val="00A44213"/>
    <w:rsid w:val="00A446B0"/>
    <w:rsid w:val="00A44904"/>
    <w:rsid w:val="00A44E43"/>
    <w:rsid w:val="00A44EC6"/>
    <w:rsid w:val="00A451AB"/>
    <w:rsid w:val="00A45F45"/>
    <w:rsid w:val="00A46134"/>
    <w:rsid w:val="00A4641A"/>
    <w:rsid w:val="00A4651B"/>
    <w:rsid w:val="00A46812"/>
    <w:rsid w:val="00A46962"/>
    <w:rsid w:val="00A46ADC"/>
    <w:rsid w:val="00A46F54"/>
    <w:rsid w:val="00A4717B"/>
    <w:rsid w:val="00A4742D"/>
    <w:rsid w:val="00A4774F"/>
    <w:rsid w:val="00A4799C"/>
    <w:rsid w:val="00A5012F"/>
    <w:rsid w:val="00A503BA"/>
    <w:rsid w:val="00A507BB"/>
    <w:rsid w:val="00A51042"/>
    <w:rsid w:val="00A517BD"/>
    <w:rsid w:val="00A51A95"/>
    <w:rsid w:val="00A51F5F"/>
    <w:rsid w:val="00A52188"/>
    <w:rsid w:val="00A52297"/>
    <w:rsid w:val="00A5252F"/>
    <w:rsid w:val="00A527A4"/>
    <w:rsid w:val="00A528F1"/>
    <w:rsid w:val="00A52BE0"/>
    <w:rsid w:val="00A5328D"/>
    <w:rsid w:val="00A532B3"/>
    <w:rsid w:val="00A533EE"/>
    <w:rsid w:val="00A535C5"/>
    <w:rsid w:val="00A535DF"/>
    <w:rsid w:val="00A5396B"/>
    <w:rsid w:val="00A539B4"/>
    <w:rsid w:val="00A539CF"/>
    <w:rsid w:val="00A53A33"/>
    <w:rsid w:val="00A53B5E"/>
    <w:rsid w:val="00A53B67"/>
    <w:rsid w:val="00A54082"/>
    <w:rsid w:val="00A540D5"/>
    <w:rsid w:val="00A54476"/>
    <w:rsid w:val="00A54647"/>
    <w:rsid w:val="00A546FF"/>
    <w:rsid w:val="00A5477B"/>
    <w:rsid w:val="00A54B5A"/>
    <w:rsid w:val="00A54D29"/>
    <w:rsid w:val="00A54EA4"/>
    <w:rsid w:val="00A5589C"/>
    <w:rsid w:val="00A55C80"/>
    <w:rsid w:val="00A55C81"/>
    <w:rsid w:val="00A56411"/>
    <w:rsid w:val="00A56A15"/>
    <w:rsid w:val="00A56A23"/>
    <w:rsid w:val="00A56BBD"/>
    <w:rsid w:val="00A56DE1"/>
    <w:rsid w:val="00A56DF0"/>
    <w:rsid w:val="00A56E34"/>
    <w:rsid w:val="00A575AB"/>
    <w:rsid w:val="00A57618"/>
    <w:rsid w:val="00A57686"/>
    <w:rsid w:val="00A57C8D"/>
    <w:rsid w:val="00A602CD"/>
    <w:rsid w:val="00A6030F"/>
    <w:rsid w:val="00A6036A"/>
    <w:rsid w:val="00A60E29"/>
    <w:rsid w:val="00A60FC5"/>
    <w:rsid w:val="00A61317"/>
    <w:rsid w:val="00A6131C"/>
    <w:rsid w:val="00A615BF"/>
    <w:rsid w:val="00A6180C"/>
    <w:rsid w:val="00A618FF"/>
    <w:rsid w:val="00A6193B"/>
    <w:rsid w:val="00A619FD"/>
    <w:rsid w:val="00A61B4A"/>
    <w:rsid w:val="00A61BA2"/>
    <w:rsid w:val="00A61DB1"/>
    <w:rsid w:val="00A621E9"/>
    <w:rsid w:val="00A62542"/>
    <w:rsid w:val="00A629FE"/>
    <w:rsid w:val="00A62C04"/>
    <w:rsid w:val="00A62FCA"/>
    <w:rsid w:val="00A63112"/>
    <w:rsid w:val="00A634B6"/>
    <w:rsid w:val="00A63855"/>
    <w:rsid w:val="00A638F0"/>
    <w:rsid w:val="00A63A41"/>
    <w:rsid w:val="00A63B64"/>
    <w:rsid w:val="00A63CA9"/>
    <w:rsid w:val="00A63D11"/>
    <w:rsid w:val="00A6478B"/>
    <w:rsid w:val="00A649A1"/>
    <w:rsid w:val="00A64C03"/>
    <w:rsid w:val="00A650C7"/>
    <w:rsid w:val="00A650FE"/>
    <w:rsid w:val="00A6530A"/>
    <w:rsid w:val="00A654DB"/>
    <w:rsid w:val="00A664D5"/>
    <w:rsid w:val="00A66740"/>
    <w:rsid w:val="00A66CB4"/>
    <w:rsid w:val="00A66EA4"/>
    <w:rsid w:val="00A67156"/>
    <w:rsid w:val="00A6757D"/>
    <w:rsid w:val="00A6762B"/>
    <w:rsid w:val="00A678D6"/>
    <w:rsid w:val="00A6797F"/>
    <w:rsid w:val="00A679F9"/>
    <w:rsid w:val="00A67B60"/>
    <w:rsid w:val="00A67BD5"/>
    <w:rsid w:val="00A67C04"/>
    <w:rsid w:val="00A67DC1"/>
    <w:rsid w:val="00A67F98"/>
    <w:rsid w:val="00A70176"/>
    <w:rsid w:val="00A705CA"/>
    <w:rsid w:val="00A70820"/>
    <w:rsid w:val="00A70BC8"/>
    <w:rsid w:val="00A70D35"/>
    <w:rsid w:val="00A7110B"/>
    <w:rsid w:val="00A7127A"/>
    <w:rsid w:val="00A71514"/>
    <w:rsid w:val="00A71AF9"/>
    <w:rsid w:val="00A71E28"/>
    <w:rsid w:val="00A72482"/>
    <w:rsid w:val="00A72491"/>
    <w:rsid w:val="00A72501"/>
    <w:rsid w:val="00A72907"/>
    <w:rsid w:val="00A72C2D"/>
    <w:rsid w:val="00A73091"/>
    <w:rsid w:val="00A73637"/>
    <w:rsid w:val="00A7385B"/>
    <w:rsid w:val="00A7389C"/>
    <w:rsid w:val="00A73D0E"/>
    <w:rsid w:val="00A74086"/>
    <w:rsid w:val="00A74207"/>
    <w:rsid w:val="00A74CAA"/>
    <w:rsid w:val="00A75155"/>
    <w:rsid w:val="00A7516B"/>
    <w:rsid w:val="00A751CC"/>
    <w:rsid w:val="00A75D12"/>
    <w:rsid w:val="00A75D7B"/>
    <w:rsid w:val="00A75E9F"/>
    <w:rsid w:val="00A75FB2"/>
    <w:rsid w:val="00A7614F"/>
    <w:rsid w:val="00A762F6"/>
    <w:rsid w:val="00A764B8"/>
    <w:rsid w:val="00A76618"/>
    <w:rsid w:val="00A76AAA"/>
    <w:rsid w:val="00A76D58"/>
    <w:rsid w:val="00A76E95"/>
    <w:rsid w:val="00A77161"/>
    <w:rsid w:val="00A771AA"/>
    <w:rsid w:val="00A77216"/>
    <w:rsid w:val="00A77743"/>
    <w:rsid w:val="00A777DC"/>
    <w:rsid w:val="00A779B5"/>
    <w:rsid w:val="00A779E2"/>
    <w:rsid w:val="00A779FB"/>
    <w:rsid w:val="00A77B3C"/>
    <w:rsid w:val="00A80111"/>
    <w:rsid w:val="00A8051D"/>
    <w:rsid w:val="00A80595"/>
    <w:rsid w:val="00A8070A"/>
    <w:rsid w:val="00A807A1"/>
    <w:rsid w:val="00A80D36"/>
    <w:rsid w:val="00A80EC1"/>
    <w:rsid w:val="00A8107A"/>
    <w:rsid w:val="00A8120E"/>
    <w:rsid w:val="00A814E8"/>
    <w:rsid w:val="00A817AB"/>
    <w:rsid w:val="00A818BF"/>
    <w:rsid w:val="00A81ED2"/>
    <w:rsid w:val="00A82B07"/>
    <w:rsid w:val="00A82CBF"/>
    <w:rsid w:val="00A82F0C"/>
    <w:rsid w:val="00A83351"/>
    <w:rsid w:val="00A83485"/>
    <w:rsid w:val="00A838DB"/>
    <w:rsid w:val="00A838EE"/>
    <w:rsid w:val="00A8396D"/>
    <w:rsid w:val="00A83C9E"/>
    <w:rsid w:val="00A840AF"/>
    <w:rsid w:val="00A845A3"/>
    <w:rsid w:val="00A84783"/>
    <w:rsid w:val="00A849E1"/>
    <w:rsid w:val="00A84D83"/>
    <w:rsid w:val="00A84E27"/>
    <w:rsid w:val="00A85150"/>
    <w:rsid w:val="00A85317"/>
    <w:rsid w:val="00A8545A"/>
    <w:rsid w:val="00A855BA"/>
    <w:rsid w:val="00A857C1"/>
    <w:rsid w:val="00A85E04"/>
    <w:rsid w:val="00A86446"/>
    <w:rsid w:val="00A86CAC"/>
    <w:rsid w:val="00A86EB7"/>
    <w:rsid w:val="00A87079"/>
    <w:rsid w:val="00A87180"/>
    <w:rsid w:val="00A87529"/>
    <w:rsid w:val="00A87615"/>
    <w:rsid w:val="00A87BEB"/>
    <w:rsid w:val="00A87E3A"/>
    <w:rsid w:val="00A9001C"/>
    <w:rsid w:val="00A90640"/>
    <w:rsid w:val="00A90CE1"/>
    <w:rsid w:val="00A90E6E"/>
    <w:rsid w:val="00A91310"/>
    <w:rsid w:val="00A915E9"/>
    <w:rsid w:val="00A91ADA"/>
    <w:rsid w:val="00A91D43"/>
    <w:rsid w:val="00A91FF2"/>
    <w:rsid w:val="00A9209A"/>
    <w:rsid w:val="00A92933"/>
    <w:rsid w:val="00A92AB4"/>
    <w:rsid w:val="00A92B78"/>
    <w:rsid w:val="00A931D0"/>
    <w:rsid w:val="00A93B58"/>
    <w:rsid w:val="00A93DD2"/>
    <w:rsid w:val="00A94401"/>
    <w:rsid w:val="00A945CE"/>
    <w:rsid w:val="00A94D0E"/>
    <w:rsid w:val="00A956FC"/>
    <w:rsid w:val="00A957D0"/>
    <w:rsid w:val="00A95882"/>
    <w:rsid w:val="00A95A20"/>
    <w:rsid w:val="00A95B05"/>
    <w:rsid w:val="00A95B79"/>
    <w:rsid w:val="00A95BC6"/>
    <w:rsid w:val="00A95BDB"/>
    <w:rsid w:val="00A95D28"/>
    <w:rsid w:val="00A95D2A"/>
    <w:rsid w:val="00A95FE1"/>
    <w:rsid w:val="00A96525"/>
    <w:rsid w:val="00A9682E"/>
    <w:rsid w:val="00A96D62"/>
    <w:rsid w:val="00A97193"/>
    <w:rsid w:val="00A9741F"/>
    <w:rsid w:val="00A97464"/>
    <w:rsid w:val="00A97784"/>
    <w:rsid w:val="00A979B9"/>
    <w:rsid w:val="00A979C3"/>
    <w:rsid w:val="00A97B85"/>
    <w:rsid w:val="00AA0173"/>
    <w:rsid w:val="00AA02C5"/>
    <w:rsid w:val="00AA0758"/>
    <w:rsid w:val="00AA09B7"/>
    <w:rsid w:val="00AA0A42"/>
    <w:rsid w:val="00AA0CAD"/>
    <w:rsid w:val="00AA0FC4"/>
    <w:rsid w:val="00AA1310"/>
    <w:rsid w:val="00AA1D16"/>
    <w:rsid w:val="00AA1FDF"/>
    <w:rsid w:val="00AA2193"/>
    <w:rsid w:val="00AA2398"/>
    <w:rsid w:val="00AA252E"/>
    <w:rsid w:val="00AA2792"/>
    <w:rsid w:val="00AA3300"/>
    <w:rsid w:val="00AA3523"/>
    <w:rsid w:val="00AA360C"/>
    <w:rsid w:val="00AA37CD"/>
    <w:rsid w:val="00AA3CA5"/>
    <w:rsid w:val="00AA41FA"/>
    <w:rsid w:val="00AA4295"/>
    <w:rsid w:val="00AA452D"/>
    <w:rsid w:val="00AA4F11"/>
    <w:rsid w:val="00AA4F89"/>
    <w:rsid w:val="00AA5109"/>
    <w:rsid w:val="00AA5228"/>
    <w:rsid w:val="00AA53BC"/>
    <w:rsid w:val="00AA5C48"/>
    <w:rsid w:val="00AA5F6A"/>
    <w:rsid w:val="00AA6974"/>
    <w:rsid w:val="00AA6CCF"/>
    <w:rsid w:val="00AA6F1F"/>
    <w:rsid w:val="00AA74DA"/>
    <w:rsid w:val="00AA750E"/>
    <w:rsid w:val="00AA786A"/>
    <w:rsid w:val="00AA7C84"/>
    <w:rsid w:val="00AA7CF2"/>
    <w:rsid w:val="00AB017B"/>
    <w:rsid w:val="00AB065B"/>
    <w:rsid w:val="00AB0C20"/>
    <w:rsid w:val="00AB0C23"/>
    <w:rsid w:val="00AB0DB5"/>
    <w:rsid w:val="00AB1013"/>
    <w:rsid w:val="00AB1159"/>
    <w:rsid w:val="00AB11F9"/>
    <w:rsid w:val="00AB133C"/>
    <w:rsid w:val="00AB188D"/>
    <w:rsid w:val="00AB195B"/>
    <w:rsid w:val="00AB1C1D"/>
    <w:rsid w:val="00AB2023"/>
    <w:rsid w:val="00AB2096"/>
    <w:rsid w:val="00AB26AF"/>
    <w:rsid w:val="00AB26EE"/>
    <w:rsid w:val="00AB28D1"/>
    <w:rsid w:val="00AB2A76"/>
    <w:rsid w:val="00AB2BFC"/>
    <w:rsid w:val="00AB315D"/>
    <w:rsid w:val="00AB3223"/>
    <w:rsid w:val="00AB3992"/>
    <w:rsid w:val="00AB3AD5"/>
    <w:rsid w:val="00AB3FD8"/>
    <w:rsid w:val="00AB3FEB"/>
    <w:rsid w:val="00AB40D7"/>
    <w:rsid w:val="00AB410C"/>
    <w:rsid w:val="00AB4132"/>
    <w:rsid w:val="00AB4284"/>
    <w:rsid w:val="00AB4938"/>
    <w:rsid w:val="00AB4BF3"/>
    <w:rsid w:val="00AB51B7"/>
    <w:rsid w:val="00AB51FF"/>
    <w:rsid w:val="00AB54E8"/>
    <w:rsid w:val="00AB5560"/>
    <w:rsid w:val="00AB561B"/>
    <w:rsid w:val="00AB573E"/>
    <w:rsid w:val="00AB5B33"/>
    <w:rsid w:val="00AB5D66"/>
    <w:rsid w:val="00AB5FCE"/>
    <w:rsid w:val="00AB67CB"/>
    <w:rsid w:val="00AB6B7B"/>
    <w:rsid w:val="00AB6C1F"/>
    <w:rsid w:val="00AB705D"/>
    <w:rsid w:val="00AB70B2"/>
    <w:rsid w:val="00AB7115"/>
    <w:rsid w:val="00AB7B7F"/>
    <w:rsid w:val="00AB7F78"/>
    <w:rsid w:val="00AC0785"/>
    <w:rsid w:val="00AC07BF"/>
    <w:rsid w:val="00AC14A1"/>
    <w:rsid w:val="00AC15A7"/>
    <w:rsid w:val="00AC163C"/>
    <w:rsid w:val="00AC1705"/>
    <w:rsid w:val="00AC18B5"/>
    <w:rsid w:val="00AC18EB"/>
    <w:rsid w:val="00AC1C32"/>
    <w:rsid w:val="00AC1D67"/>
    <w:rsid w:val="00AC1D72"/>
    <w:rsid w:val="00AC1EC8"/>
    <w:rsid w:val="00AC1F1B"/>
    <w:rsid w:val="00AC1F83"/>
    <w:rsid w:val="00AC25E8"/>
    <w:rsid w:val="00AC33B0"/>
    <w:rsid w:val="00AC35DC"/>
    <w:rsid w:val="00AC3758"/>
    <w:rsid w:val="00AC3ECF"/>
    <w:rsid w:val="00AC42BC"/>
    <w:rsid w:val="00AC4488"/>
    <w:rsid w:val="00AC4F61"/>
    <w:rsid w:val="00AC51DE"/>
    <w:rsid w:val="00AC5422"/>
    <w:rsid w:val="00AC576E"/>
    <w:rsid w:val="00AC5ECC"/>
    <w:rsid w:val="00AC61C7"/>
    <w:rsid w:val="00AC6B4B"/>
    <w:rsid w:val="00AC6EDD"/>
    <w:rsid w:val="00AC6FCF"/>
    <w:rsid w:val="00AC7024"/>
    <w:rsid w:val="00AC70EF"/>
    <w:rsid w:val="00AC745F"/>
    <w:rsid w:val="00AC75A5"/>
    <w:rsid w:val="00AC781F"/>
    <w:rsid w:val="00AC7936"/>
    <w:rsid w:val="00AC7CC5"/>
    <w:rsid w:val="00AC7D36"/>
    <w:rsid w:val="00AC7F48"/>
    <w:rsid w:val="00AD040C"/>
    <w:rsid w:val="00AD0902"/>
    <w:rsid w:val="00AD0A01"/>
    <w:rsid w:val="00AD0A8D"/>
    <w:rsid w:val="00AD10C6"/>
    <w:rsid w:val="00AD13FC"/>
    <w:rsid w:val="00AD15D2"/>
    <w:rsid w:val="00AD1C02"/>
    <w:rsid w:val="00AD1F68"/>
    <w:rsid w:val="00AD2146"/>
    <w:rsid w:val="00AD21D9"/>
    <w:rsid w:val="00AD22C8"/>
    <w:rsid w:val="00AD267E"/>
    <w:rsid w:val="00AD279B"/>
    <w:rsid w:val="00AD2802"/>
    <w:rsid w:val="00AD2CC8"/>
    <w:rsid w:val="00AD2D2F"/>
    <w:rsid w:val="00AD2EEC"/>
    <w:rsid w:val="00AD2F05"/>
    <w:rsid w:val="00AD31C7"/>
    <w:rsid w:val="00AD3260"/>
    <w:rsid w:val="00AD3BDA"/>
    <w:rsid w:val="00AD40E6"/>
    <w:rsid w:val="00AD40E8"/>
    <w:rsid w:val="00AD46ED"/>
    <w:rsid w:val="00AD5198"/>
    <w:rsid w:val="00AD531B"/>
    <w:rsid w:val="00AD53B1"/>
    <w:rsid w:val="00AD53C9"/>
    <w:rsid w:val="00AD57B5"/>
    <w:rsid w:val="00AD5DD6"/>
    <w:rsid w:val="00AD6189"/>
    <w:rsid w:val="00AD643C"/>
    <w:rsid w:val="00AD6506"/>
    <w:rsid w:val="00AD68B3"/>
    <w:rsid w:val="00AD72AB"/>
    <w:rsid w:val="00AD7E1B"/>
    <w:rsid w:val="00AD7E91"/>
    <w:rsid w:val="00AE044A"/>
    <w:rsid w:val="00AE06A8"/>
    <w:rsid w:val="00AE097A"/>
    <w:rsid w:val="00AE0BCE"/>
    <w:rsid w:val="00AE0D38"/>
    <w:rsid w:val="00AE1203"/>
    <w:rsid w:val="00AE1278"/>
    <w:rsid w:val="00AE1D0D"/>
    <w:rsid w:val="00AE1FD8"/>
    <w:rsid w:val="00AE2094"/>
    <w:rsid w:val="00AE2212"/>
    <w:rsid w:val="00AE23C8"/>
    <w:rsid w:val="00AE247B"/>
    <w:rsid w:val="00AE2669"/>
    <w:rsid w:val="00AE2991"/>
    <w:rsid w:val="00AE2C86"/>
    <w:rsid w:val="00AE2ED1"/>
    <w:rsid w:val="00AE3457"/>
    <w:rsid w:val="00AE35A6"/>
    <w:rsid w:val="00AE4138"/>
    <w:rsid w:val="00AE41A7"/>
    <w:rsid w:val="00AE437E"/>
    <w:rsid w:val="00AE45C0"/>
    <w:rsid w:val="00AE465F"/>
    <w:rsid w:val="00AE497E"/>
    <w:rsid w:val="00AE4BAA"/>
    <w:rsid w:val="00AE51BD"/>
    <w:rsid w:val="00AE5466"/>
    <w:rsid w:val="00AE5974"/>
    <w:rsid w:val="00AE5CE8"/>
    <w:rsid w:val="00AE5FF6"/>
    <w:rsid w:val="00AE6003"/>
    <w:rsid w:val="00AE60A2"/>
    <w:rsid w:val="00AE678A"/>
    <w:rsid w:val="00AE69BB"/>
    <w:rsid w:val="00AE7068"/>
    <w:rsid w:val="00AE72BF"/>
    <w:rsid w:val="00AE7740"/>
    <w:rsid w:val="00AE7842"/>
    <w:rsid w:val="00AE7982"/>
    <w:rsid w:val="00AE7B11"/>
    <w:rsid w:val="00AE7C18"/>
    <w:rsid w:val="00AE7E22"/>
    <w:rsid w:val="00AF01CC"/>
    <w:rsid w:val="00AF0D5B"/>
    <w:rsid w:val="00AF0F1B"/>
    <w:rsid w:val="00AF147D"/>
    <w:rsid w:val="00AF1548"/>
    <w:rsid w:val="00AF16B0"/>
    <w:rsid w:val="00AF1775"/>
    <w:rsid w:val="00AF1A3F"/>
    <w:rsid w:val="00AF1A7D"/>
    <w:rsid w:val="00AF1BC3"/>
    <w:rsid w:val="00AF1E86"/>
    <w:rsid w:val="00AF1F85"/>
    <w:rsid w:val="00AF2096"/>
    <w:rsid w:val="00AF20DC"/>
    <w:rsid w:val="00AF2819"/>
    <w:rsid w:val="00AF2AD8"/>
    <w:rsid w:val="00AF2BAB"/>
    <w:rsid w:val="00AF318C"/>
    <w:rsid w:val="00AF38A6"/>
    <w:rsid w:val="00AF3A8B"/>
    <w:rsid w:val="00AF3C28"/>
    <w:rsid w:val="00AF3D59"/>
    <w:rsid w:val="00AF3D86"/>
    <w:rsid w:val="00AF3DFC"/>
    <w:rsid w:val="00AF3E82"/>
    <w:rsid w:val="00AF4390"/>
    <w:rsid w:val="00AF43D5"/>
    <w:rsid w:val="00AF4465"/>
    <w:rsid w:val="00AF4722"/>
    <w:rsid w:val="00AF496F"/>
    <w:rsid w:val="00AF4C46"/>
    <w:rsid w:val="00AF53EC"/>
    <w:rsid w:val="00AF5735"/>
    <w:rsid w:val="00AF5BEC"/>
    <w:rsid w:val="00AF6133"/>
    <w:rsid w:val="00AF6E04"/>
    <w:rsid w:val="00AF6FFB"/>
    <w:rsid w:val="00AF705A"/>
    <w:rsid w:val="00AF7709"/>
    <w:rsid w:val="00AF7A30"/>
    <w:rsid w:val="00AF7A61"/>
    <w:rsid w:val="00B005DE"/>
    <w:rsid w:val="00B00636"/>
    <w:rsid w:val="00B00E24"/>
    <w:rsid w:val="00B01049"/>
    <w:rsid w:val="00B01113"/>
    <w:rsid w:val="00B013B2"/>
    <w:rsid w:val="00B01413"/>
    <w:rsid w:val="00B014C3"/>
    <w:rsid w:val="00B014F7"/>
    <w:rsid w:val="00B01573"/>
    <w:rsid w:val="00B01650"/>
    <w:rsid w:val="00B01DFA"/>
    <w:rsid w:val="00B02157"/>
    <w:rsid w:val="00B02317"/>
    <w:rsid w:val="00B0236C"/>
    <w:rsid w:val="00B029BB"/>
    <w:rsid w:val="00B02A3F"/>
    <w:rsid w:val="00B02B31"/>
    <w:rsid w:val="00B02E4B"/>
    <w:rsid w:val="00B030A0"/>
    <w:rsid w:val="00B0339E"/>
    <w:rsid w:val="00B03468"/>
    <w:rsid w:val="00B03524"/>
    <w:rsid w:val="00B03A54"/>
    <w:rsid w:val="00B03CBD"/>
    <w:rsid w:val="00B03E60"/>
    <w:rsid w:val="00B04038"/>
    <w:rsid w:val="00B04235"/>
    <w:rsid w:val="00B04239"/>
    <w:rsid w:val="00B04ACC"/>
    <w:rsid w:val="00B04DE3"/>
    <w:rsid w:val="00B04E0D"/>
    <w:rsid w:val="00B04F73"/>
    <w:rsid w:val="00B04F9D"/>
    <w:rsid w:val="00B05342"/>
    <w:rsid w:val="00B0557D"/>
    <w:rsid w:val="00B05AC4"/>
    <w:rsid w:val="00B05BC5"/>
    <w:rsid w:val="00B05D97"/>
    <w:rsid w:val="00B06176"/>
    <w:rsid w:val="00B06450"/>
    <w:rsid w:val="00B06636"/>
    <w:rsid w:val="00B0684D"/>
    <w:rsid w:val="00B06D97"/>
    <w:rsid w:val="00B06FDB"/>
    <w:rsid w:val="00B070D1"/>
    <w:rsid w:val="00B0750B"/>
    <w:rsid w:val="00B07539"/>
    <w:rsid w:val="00B076D7"/>
    <w:rsid w:val="00B07CD1"/>
    <w:rsid w:val="00B10035"/>
    <w:rsid w:val="00B101D1"/>
    <w:rsid w:val="00B107C5"/>
    <w:rsid w:val="00B10BF8"/>
    <w:rsid w:val="00B10E92"/>
    <w:rsid w:val="00B10F6F"/>
    <w:rsid w:val="00B110AA"/>
    <w:rsid w:val="00B11131"/>
    <w:rsid w:val="00B11465"/>
    <w:rsid w:val="00B114B5"/>
    <w:rsid w:val="00B11AEC"/>
    <w:rsid w:val="00B11BEC"/>
    <w:rsid w:val="00B11D4B"/>
    <w:rsid w:val="00B12D4D"/>
    <w:rsid w:val="00B13182"/>
    <w:rsid w:val="00B1321D"/>
    <w:rsid w:val="00B13336"/>
    <w:rsid w:val="00B13715"/>
    <w:rsid w:val="00B13956"/>
    <w:rsid w:val="00B13B46"/>
    <w:rsid w:val="00B13B6B"/>
    <w:rsid w:val="00B13EEF"/>
    <w:rsid w:val="00B140F2"/>
    <w:rsid w:val="00B14213"/>
    <w:rsid w:val="00B14D0F"/>
    <w:rsid w:val="00B15852"/>
    <w:rsid w:val="00B15C4C"/>
    <w:rsid w:val="00B15E9E"/>
    <w:rsid w:val="00B16965"/>
    <w:rsid w:val="00B16AA8"/>
    <w:rsid w:val="00B16AEF"/>
    <w:rsid w:val="00B1721E"/>
    <w:rsid w:val="00B173CC"/>
    <w:rsid w:val="00B1740D"/>
    <w:rsid w:val="00B176A6"/>
    <w:rsid w:val="00B177C7"/>
    <w:rsid w:val="00B17A51"/>
    <w:rsid w:val="00B17C8C"/>
    <w:rsid w:val="00B17EA7"/>
    <w:rsid w:val="00B2000C"/>
    <w:rsid w:val="00B20171"/>
    <w:rsid w:val="00B208DC"/>
    <w:rsid w:val="00B20B8F"/>
    <w:rsid w:val="00B20C19"/>
    <w:rsid w:val="00B20C62"/>
    <w:rsid w:val="00B21065"/>
    <w:rsid w:val="00B210F5"/>
    <w:rsid w:val="00B21545"/>
    <w:rsid w:val="00B217FE"/>
    <w:rsid w:val="00B2183F"/>
    <w:rsid w:val="00B21CFA"/>
    <w:rsid w:val="00B21DA3"/>
    <w:rsid w:val="00B21DB6"/>
    <w:rsid w:val="00B21F97"/>
    <w:rsid w:val="00B220ED"/>
    <w:rsid w:val="00B22286"/>
    <w:rsid w:val="00B222CB"/>
    <w:rsid w:val="00B22A6B"/>
    <w:rsid w:val="00B22CD8"/>
    <w:rsid w:val="00B22D1E"/>
    <w:rsid w:val="00B23626"/>
    <w:rsid w:val="00B2397E"/>
    <w:rsid w:val="00B23992"/>
    <w:rsid w:val="00B23A92"/>
    <w:rsid w:val="00B23E30"/>
    <w:rsid w:val="00B23F8F"/>
    <w:rsid w:val="00B23FE8"/>
    <w:rsid w:val="00B241C9"/>
    <w:rsid w:val="00B24239"/>
    <w:rsid w:val="00B24299"/>
    <w:rsid w:val="00B247FD"/>
    <w:rsid w:val="00B24838"/>
    <w:rsid w:val="00B2490E"/>
    <w:rsid w:val="00B24988"/>
    <w:rsid w:val="00B24A27"/>
    <w:rsid w:val="00B24C30"/>
    <w:rsid w:val="00B25131"/>
    <w:rsid w:val="00B251A7"/>
    <w:rsid w:val="00B255E6"/>
    <w:rsid w:val="00B25B40"/>
    <w:rsid w:val="00B25BCB"/>
    <w:rsid w:val="00B25F43"/>
    <w:rsid w:val="00B2644F"/>
    <w:rsid w:val="00B26A75"/>
    <w:rsid w:val="00B26B20"/>
    <w:rsid w:val="00B26C44"/>
    <w:rsid w:val="00B26DA7"/>
    <w:rsid w:val="00B27787"/>
    <w:rsid w:val="00B27A0E"/>
    <w:rsid w:val="00B27BAA"/>
    <w:rsid w:val="00B27DD9"/>
    <w:rsid w:val="00B27F44"/>
    <w:rsid w:val="00B30147"/>
    <w:rsid w:val="00B3091F"/>
    <w:rsid w:val="00B30BA5"/>
    <w:rsid w:val="00B31062"/>
    <w:rsid w:val="00B31A8E"/>
    <w:rsid w:val="00B31B0B"/>
    <w:rsid w:val="00B31DA7"/>
    <w:rsid w:val="00B3215C"/>
    <w:rsid w:val="00B3223C"/>
    <w:rsid w:val="00B3253C"/>
    <w:rsid w:val="00B32638"/>
    <w:rsid w:val="00B32689"/>
    <w:rsid w:val="00B32CFF"/>
    <w:rsid w:val="00B33E10"/>
    <w:rsid w:val="00B3400C"/>
    <w:rsid w:val="00B34153"/>
    <w:rsid w:val="00B343B0"/>
    <w:rsid w:val="00B345BB"/>
    <w:rsid w:val="00B34744"/>
    <w:rsid w:val="00B34CF1"/>
    <w:rsid w:val="00B351DC"/>
    <w:rsid w:val="00B352B9"/>
    <w:rsid w:val="00B35413"/>
    <w:rsid w:val="00B35560"/>
    <w:rsid w:val="00B359F6"/>
    <w:rsid w:val="00B35B36"/>
    <w:rsid w:val="00B35D9E"/>
    <w:rsid w:val="00B35EE2"/>
    <w:rsid w:val="00B3638E"/>
    <w:rsid w:val="00B36776"/>
    <w:rsid w:val="00B36848"/>
    <w:rsid w:val="00B36896"/>
    <w:rsid w:val="00B36977"/>
    <w:rsid w:val="00B36CFF"/>
    <w:rsid w:val="00B36F8C"/>
    <w:rsid w:val="00B377BA"/>
    <w:rsid w:val="00B37CAF"/>
    <w:rsid w:val="00B37D4B"/>
    <w:rsid w:val="00B37F4F"/>
    <w:rsid w:val="00B37F7C"/>
    <w:rsid w:val="00B400AD"/>
    <w:rsid w:val="00B4019F"/>
    <w:rsid w:val="00B404F3"/>
    <w:rsid w:val="00B40638"/>
    <w:rsid w:val="00B40816"/>
    <w:rsid w:val="00B408A7"/>
    <w:rsid w:val="00B408DC"/>
    <w:rsid w:val="00B40EA3"/>
    <w:rsid w:val="00B410BD"/>
    <w:rsid w:val="00B4117E"/>
    <w:rsid w:val="00B411BE"/>
    <w:rsid w:val="00B4135A"/>
    <w:rsid w:val="00B415F5"/>
    <w:rsid w:val="00B41902"/>
    <w:rsid w:val="00B41CA1"/>
    <w:rsid w:val="00B426AE"/>
    <w:rsid w:val="00B428C2"/>
    <w:rsid w:val="00B42BDE"/>
    <w:rsid w:val="00B430BD"/>
    <w:rsid w:val="00B436D0"/>
    <w:rsid w:val="00B43B60"/>
    <w:rsid w:val="00B43C7D"/>
    <w:rsid w:val="00B43CF9"/>
    <w:rsid w:val="00B43D8A"/>
    <w:rsid w:val="00B44054"/>
    <w:rsid w:val="00B4412C"/>
    <w:rsid w:val="00B448D5"/>
    <w:rsid w:val="00B448E8"/>
    <w:rsid w:val="00B448ED"/>
    <w:rsid w:val="00B44B49"/>
    <w:rsid w:val="00B44B67"/>
    <w:rsid w:val="00B45150"/>
    <w:rsid w:val="00B453B0"/>
    <w:rsid w:val="00B456D9"/>
    <w:rsid w:val="00B4580F"/>
    <w:rsid w:val="00B45AA7"/>
    <w:rsid w:val="00B45F41"/>
    <w:rsid w:val="00B4614A"/>
    <w:rsid w:val="00B4642F"/>
    <w:rsid w:val="00B4658B"/>
    <w:rsid w:val="00B467A8"/>
    <w:rsid w:val="00B46A0A"/>
    <w:rsid w:val="00B46A84"/>
    <w:rsid w:val="00B46E97"/>
    <w:rsid w:val="00B4763D"/>
    <w:rsid w:val="00B477A9"/>
    <w:rsid w:val="00B47C1C"/>
    <w:rsid w:val="00B47F9D"/>
    <w:rsid w:val="00B5023B"/>
    <w:rsid w:val="00B50A81"/>
    <w:rsid w:val="00B50C57"/>
    <w:rsid w:val="00B50C7E"/>
    <w:rsid w:val="00B50D20"/>
    <w:rsid w:val="00B50D82"/>
    <w:rsid w:val="00B50E49"/>
    <w:rsid w:val="00B50E60"/>
    <w:rsid w:val="00B5108E"/>
    <w:rsid w:val="00B510F3"/>
    <w:rsid w:val="00B513E9"/>
    <w:rsid w:val="00B5147E"/>
    <w:rsid w:val="00B51564"/>
    <w:rsid w:val="00B517D0"/>
    <w:rsid w:val="00B51880"/>
    <w:rsid w:val="00B5262B"/>
    <w:rsid w:val="00B527A8"/>
    <w:rsid w:val="00B52A87"/>
    <w:rsid w:val="00B531B0"/>
    <w:rsid w:val="00B53294"/>
    <w:rsid w:val="00B5337E"/>
    <w:rsid w:val="00B533B4"/>
    <w:rsid w:val="00B53467"/>
    <w:rsid w:val="00B53A2D"/>
    <w:rsid w:val="00B542B9"/>
    <w:rsid w:val="00B549F6"/>
    <w:rsid w:val="00B54BF2"/>
    <w:rsid w:val="00B54D85"/>
    <w:rsid w:val="00B550E4"/>
    <w:rsid w:val="00B5528E"/>
    <w:rsid w:val="00B552C5"/>
    <w:rsid w:val="00B55347"/>
    <w:rsid w:val="00B55422"/>
    <w:rsid w:val="00B55D41"/>
    <w:rsid w:val="00B55D8C"/>
    <w:rsid w:val="00B5657E"/>
    <w:rsid w:val="00B56E17"/>
    <w:rsid w:val="00B5716D"/>
    <w:rsid w:val="00B57223"/>
    <w:rsid w:val="00B5731F"/>
    <w:rsid w:val="00B573B6"/>
    <w:rsid w:val="00B57C3F"/>
    <w:rsid w:val="00B57E36"/>
    <w:rsid w:val="00B6035F"/>
    <w:rsid w:val="00B6072D"/>
    <w:rsid w:val="00B60D3C"/>
    <w:rsid w:val="00B60D63"/>
    <w:rsid w:val="00B6119F"/>
    <w:rsid w:val="00B61335"/>
    <w:rsid w:val="00B613AE"/>
    <w:rsid w:val="00B6153B"/>
    <w:rsid w:val="00B6193B"/>
    <w:rsid w:val="00B61E80"/>
    <w:rsid w:val="00B6206B"/>
    <w:rsid w:val="00B62E76"/>
    <w:rsid w:val="00B6313C"/>
    <w:rsid w:val="00B6385A"/>
    <w:rsid w:val="00B63C16"/>
    <w:rsid w:val="00B63CB5"/>
    <w:rsid w:val="00B63DFE"/>
    <w:rsid w:val="00B63E2F"/>
    <w:rsid w:val="00B64303"/>
    <w:rsid w:val="00B6431E"/>
    <w:rsid w:val="00B648C1"/>
    <w:rsid w:val="00B649C9"/>
    <w:rsid w:val="00B64BCA"/>
    <w:rsid w:val="00B64D1B"/>
    <w:rsid w:val="00B6525D"/>
    <w:rsid w:val="00B660E9"/>
    <w:rsid w:val="00B66135"/>
    <w:rsid w:val="00B661A5"/>
    <w:rsid w:val="00B6637C"/>
    <w:rsid w:val="00B663F7"/>
    <w:rsid w:val="00B667D5"/>
    <w:rsid w:val="00B66A95"/>
    <w:rsid w:val="00B66D46"/>
    <w:rsid w:val="00B66F13"/>
    <w:rsid w:val="00B673F9"/>
    <w:rsid w:val="00B67685"/>
    <w:rsid w:val="00B6769B"/>
    <w:rsid w:val="00B67869"/>
    <w:rsid w:val="00B70070"/>
    <w:rsid w:val="00B7015B"/>
    <w:rsid w:val="00B70917"/>
    <w:rsid w:val="00B70C53"/>
    <w:rsid w:val="00B70D88"/>
    <w:rsid w:val="00B70F5E"/>
    <w:rsid w:val="00B714C7"/>
    <w:rsid w:val="00B7160D"/>
    <w:rsid w:val="00B71A0C"/>
    <w:rsid w:val="00B71E23"/>
    <w:rsid w:val="00B71F1E"/>
    <w:rsid w:val="00B71F5D"/>
    <w:rsid w:val="00B7208A"/>
    <w:rsid w:val="00B7214A"/>
    <w:rsid w:val="00B72D75"/>
    <w:rsid w:val="00B73A00"/>
    <w:rsid w:val="00B742B4"/>
    <w:rsid w:val="00B743C9"/>
    <w:rsid w:val="00B7497A"/>
    <w:rsid w:val="00B74BC5"/>
    <w:rsid w:val="00B74CB1"/>
    <w:rsid w:val="00B74E44"/>
    <w:rsid w:val="00B74EE1"/>
    <w:rsid w:val="00B751B8"/>
    <w:rsid w:val="00B751CC"/>
    <w:rsid w:val="00B75608"/>
    <w:rsid w:val="00B7581D"/>
    <w:rsid w:val="00B75C78"/>
    <w:rsid w:val="00B75E8D"/>
    <w:rsid w:val="00B76568"/>
    <w:rsid w:val="00B769C6"/>
    <w:rsid w:val="00B76F2D"/>
    <w:rsid w:val="00B77209"/>
    <w:rsid w:val="00B7773E"/>
    <w:rsid w:val="00B77AB2"/>
    <w:rsid w:val="00B77E13"/>
    <w:rsid w:val="00B77E5E"/>
    <w:rsid w:val="00B77EF6"/>
    <w:rsid w:val="00B80003"/>
    <w:rsid w:val="00B80008"/>
    <w:rsid w:val="00B805AE"/>
    <w:rsid w:val="00B80723"/>
    <w:rsid w:val="00B807B8"/>
    <w:rsid w:val="00B807E5"/>
    <w:rsid w:val="00B80F68"/>
    <w:rsid w:val="00B810D6"/>
    <w:rsid w:val="00B8119F"/>
    <w:rsid w:val="00B81241"/>
    <w:rsid w:val="00B81771"/>
    <w:rsid w:val="00B81930"/>
    <w:rsid w:val="00B819B1"/>
    <w:rsid w:val="00B81CD5"/>
    <w:rsid w:val="00B81F67"/>
    <w:rsid w:val="00B820B8"/>
    <w:rsid w:val="00B820EB"/>
    <w:rsid w:val="00B8233F"/>
    <w:rsid w:val="00B82398"/>
    <w:rsid w:val="00B8261F"/>
    <w:rsid w:val="00B82B94"/>
    <w:rsid w:val="00B82F88"/>
    <w:rsid w:val="00B8302B"/>
    <w:rsid w:val="00B833C9"/>
    <w:rsid w:val="00B8362A"/>
    <w:rsid w:val="00B83D46"/>
    <w:rsid w:val="00B8414C"/>
    <w:rsid w:val="00B845E2"/>
    <w:rsid w:val="00B8488B"/>
    <w:rsid w:val="00B84980"/>
    <w:rsid w:val="00B84BDB"/>
    <w:rsid w:val="00B84BDD"/>
    <w:rsid w:val="00B84C05"/>
    <w:rsid w:val="00B84FE6"/>
    <w:rsid w:val="00B856CD"/>
    <w:rsid w:val="00B85EA4"/>
    <w:rsid w:val="00B863A7"/>
    <w:rsid w:val="00B8662D"/>
    <w:rsid w:val="00B8695D"/>
    <w:rsid w:val="00B86AAE"/>
    <w:rsid w:val="00B86D4B"/>
    <w:rsid w:val="00B86E25"/>
    <w:rsid w:val="00B87374"/>
    <w:rsid w:val="00B87487"/>
    <w:rsid w:val="00B879BA"/>
    <w:rsid w:val="00B87BDE"/>
    <w:rsid w:val="00B87CF7"/>
    <w:rsid w:val="00B90087"/>
    <w:rsid w:val="00B90332"/>
    <w:rsid w:val="00B907DA"/>
    <w:rsid w:val="00B909D0"/>
    <w:rsid w:val="00B909F4"/>
    <w:rsid w:val="00B90B05"/>
    <w:rsid w:val="00B90B71"/>
    <w:rsid w:val="00B90CE1"/>
    <w:rsid w:val="00B90CEC"/>
    <w:rsid w:val="00B90E9E"/>
    <w:rsid w:val="00B9130E"/>
    <w:rsid w:val="00B9137F"/>
    <w:rsid w:val="00B913EA"/>
    <w:rsid w:val="00B9144C"/>
    <w:rsid w:val="00B91E13"/>
    <w:rsid w:val="00B91F1B"/>
    <w:rsid w:val="00B9207F"/>
    <w:rsid w:val="00B92182"/>
    <w:rsid w:val="00B922CD"/>
    <w:rsid w:val="00B92641"/>
    <w:rsid w:val="00B928AE"/>
    <w:rsid w:val="00B9295B"/>
    <w:rsid w:val="00B92EB0"/>
    <w:rsid w:val="00B93764"/>
    <w:rsid w:val="00B93A1D"/>
    <w:rsid w:val="00B93A8A"/>
    <w:rsid w:val="00B93AC4"/>
    <w:rsid w:val="00B93DE5"/>
    <w:rsid w:val="00B9406A"/>
    <w:rsid w:val="00B9407A"/>
    <w:rsid w:val="00B94778"/>
    <w:rsid w:val="00B948ED"/>
    <w:rsid w:val="00B94AD2"/>
    <w:rsid w:val="00B94D42"/>
    <w:rsid w:val="00B96072"/>
    <w:rsid w:val="00B963CA"/>
    <w:rsid w:val="00B96420"/>
    <w:rsid w:val="00B965F8"/>
    <w:rsid w:val="00B966B4"/>
    <w:rsid w:val="00B96EC0"/>
    <w:rsid w:val="00B96FAF"/>
    <w:rsid w:val="00B97453"/>
    <w:rsid w:val="00B9764C"/>
    <w:rsid w:val="00B9770A"/>
    <w:rsid w:val="00B9786D"/>
    <w:rsid w:val="00B97A2B"/>
    <w:rsid w:val="00BA004C"/>
    <w:rsid w:val="00BA02CE"/>
    <w:rsid w:val="00BA030D"/>
    <w:rsid w:val="00BA0374"/>
    <w:rsid w:val="00BA0478"/>
    <w:rsid w:val="00BA049D"/>
    <w:rsid w:val="00BA0578"/>
    <w:rsid w:val="00BA05C0"/>
    <w:rsid w:val="00BA0959"/>
    <w:rsid w:val="00BA0B2C"/>
    <w:rsid w:val="00BA119F"/>
    <w:rsid w:val="00BA1233"/>
    <w:rsid w:val="00BA1EC5"/>
    <w:rsid w:val="00BA1FAF"/>
    <w:rsid w:val="00BA236F"/>
    <w:rsid w:val="00BA23E1"/>
    <w:rsid w:val="00BA24A1"/>
    <w:rsid w:val="00BA270F"/>
    <w:rsid w:val="00BA3229"/>
    <w:rsid w:val="00BA32C0"/>
    <w:rsid w:val="00BA350F"/>
    <w:rsid w:val="00BA3CAD"/>
    <w:rsid w:val="00BA3E59"/>
    <w:rsid w:val="00BA40FE"/>
    <w:rsid w:val="00BA42F5"/>
    <w:rsid w:val="00BA4685"/>
    <w:rsid w:val="00BA4689"/>
    <w:rsid w:val="00BA47FE"/>
    <w:rsid w:val="00BA4ACD"/>
    <w:rsid w:val="00BA4B16"/>
    <w:rsid w:val="00BA4C3D"/>
    <w:rsid w:val="00BA50F2"/>
    <w:rsid w:val="00BA576E"/>
    <w:rsid w:val="00BA57F8"/>
    <w:rsid w:val="00BA5D48"/>
    <w:rsid w:val="00BA61CE"/>
    <w:rsid w:val="00BA6495"/>
    <w:rsid w:val="00BA678A"/>
    <w:rsid w:val="00BA6E8B"/>
    <w:rsid w:val="00BA7ADD"/>
    <w:rsid w:val="00BA7B9D"/>
    <w:rsid w:val="00BA7BBD"/>
    <w:rsid w:val="00BA7D1D"/>
    <w:rsid w:val="00BB027F"/>
    <w:rsid w:val="00BB0287"/>
    <w:rsid w:val="00BB02D0"/>
    <w:rsid w:val="00BB0601"/>
    <w:rsid w:val="00BB0980"/>
    <w:rsid w:val="00BB0D72"/>
    <w:rsid w:val="00BB10F5"/>
    <w:rsid w:val="00BB119E"/>
    <w:rsid w:val="00BB1202"/>
    <w:rsid w:val="00BB14A9"/>
    <w:rsid w:val="00BB16C5"/>
    <w:rsid w:val="00BB19D6"/>
    <w:rsid w:val="00BB1A98"/>
    <w:rsid w:val="00BB1CE7"/>
    <w:rsid w:val="00BB231A"/>
    <w:rsid w:val="00BB26F3"/>
    <w:rsid w:val="00BB292F"/>
    <w:rsid w:val="00BB2C0E"/>
    <w:rsid w:val="00BB2D27"/>
    <w:rsid w:val="00BB2F52"/>
    <w:rsid w:val="00BB3475"/>
    <w:rsid w:val="00BB38F6"/>
    <w:rsid w:val="00BB3B00"/>
    <w:rsid w:val="00BB3B10"/>
    <w:rsid w:val="00BB3C58"/>
    <w:rsid w:val="00BB3CF5"/>
    <w:rsid w:val="00BB3D4A"/>
    <w:rsid w:val="00BB3F64"/>
    <w:rsid w:val="00BB4361"/>
    <w:rsid w:val="00BB448E"/>
    <w:rsid w:val="00BB455F"/>
    <w:rsid w:val="00BB457C"/>
    <w:rsid w:val="00BB45EA"/>
    <w:rsid w:val="00BB46B7"/>
    <w:rsid w:val="00BB46F7"/>
    <w:rsid w:val="00BB4BFA"/>
    <w:rsid w:val="00BB4DE7"/>
    <w:rsid w:val="00BB4F1F"/>
    <w:rsid w:val="00BB509D"/>
    <w:rsid w:val="00BB53DD"/>
    <w:rsid w:val="00BB5698"/>
    <w:rsid w:val="00BB5939"/>
    <w:rsid w:val="00BB6A3C"/>
    <w:rsid w:val="00BB6D76"/>
    <w:rsid w:val="00BB745C"/>
    <w:rsid w:val="00BB79CF"/>
    <w:rsid w:val="00BC0096"/>
    <w:rsid w:val="00BC0CC6"/>
    <w:rsid w:val="00BC0F2A"/>
    <w:rsid w:val="00BC13D7"/>
    <w:rsid w:val="00BC18AF"/>
    <w:rsid w:val="00BC18EB"/>
    <w:rsid w:val="00BC1930"/>
    <w:rsid w:val="00BC1ECB"/>
    <w:rsid w:val="00BC20C6"/>
    <w:rsid w:val="00BC21FE"/>
    <w:rsid w:val="00BC2349"/>
    <w:rsid w:val="00BC265C"/>
    <w:rsid w:val="00BC2999"/>
    <w:rsid w:val="00BC29F4"/>
    <w:rsid w:val="00BC3194"/>
    <w:rsid w:val="00BC346E"/>
    <w:rsid w:val="00BC35BB"/>
    <w:rsid w:val="00BC4628"/>
    <w:rsid w:val="00BC4C74"/>
    <w:rsid w:val="00BC4E19"/>
    <w:rsid w:val="00BC4EA1"/>
    <w:rsid w:val="00BC50AA"/>
    <w:rsid w:val="00BC54FA"/>
    <w:rsid w:val="00BC56B6"/>
    <w:rsid w:val="00BC5864"/>
    <w:rsid w:val="00BC6099"/>
    <w:rsid w:val="00BC61E1"/>
    <w:rsid w:val="00BC68EF"/>
    <w:rsid w:val="00BC691C"/>
    <w:rsid w:val="00BC6B16"/>
    <w:rsid w:val="00BC6B37"/>
    <w:rsid w:val="00BC6CC4"/>
    <w:rsid w:val="00BC6FC3"/>
    <w:rsid w:val="00BC72FB"/>
    <w:rsid w:val="00BC7928"/>
    <w:rsid w:val="00BC7CF9"/>
    <w:rsid w:val="00BC7FCB"/>
    <w:rsid w:val="00BD0388"/>
    <w:rsid w:val="00BD0883"/>
    <w:rsid w:val="00BD0A53"/>
    <w:rsid w:val="00BD1519"/>
    <w:rsid w:val="00BD1D43"/>
    <w:rsid w:val="00BD1F29"/>
    <w:rsid w:val="00BD20E7"/>
    <w:rsid w:val="00BD24D7"/>
    <w:rsid w:val="00BD2973"/>
    <w:rsid w:val="00BD29EF"/>
    <w:rsid w:val="00BD2A49"/>
    <w:rsid w:val="00BD2F8E"/>
    <w:rsid w:val="00BD30D2"/>
    <w:rsid w:val="00BD364E"/>
    <w:rsid w:val="00BD3B89"/>
    <w:rsid w:val="00BD3C9E"/>
    <w:rsid w:val="00BD3E96"/>
    <w:rsid w:val="00BD3F75"/>
    <w:rsid w:val="00BD41A1"/>
    <w:rsid w:val="00BD4585"/>
    <w:rsid w:val="00BD4714"/>
    <w:rsid w:val="00BD4735"/>
    <w:rsid w:val="00BD4A9D"/>
    <w:rsid w:val="00BD4D88"/>
    <w:rsid w:val="00BD4FF1"/>
    <w:rsid w:val="00BD507F"/>
    <w:rsid w:val="00BD5335"/>
    <w:rsid w:val="00BD5408"/>
    <w:rsid w:val="00BD5563"/>
    <w:rsid w:val="00BD56D5"/>
    <w:rsid w:val="00BD5B6B"/>
    <w:rsid w:val="00BD5D98"/>
    <w:rsid w:val="00BD6043"/>
    <w:rsid w:val="00BD62C8"/>
    <w:rsid w:val="00BD62DC"/>
    <w:rsid w:val="00BD6357"/>
    <w:rsid w:val="00BD6646"/>
    <w:rsid w:val="00BD66EC"/>
    <w:rsid w:val="00BD6A91"/>
    <w:rsid w:val="00BD6FC1"/>
    <w:rsid w:val="00BD6FF5"/>
    <w:rsid w:val="00BD710E"/>
    <w:rsid w:val="00BD79E0"/>
    <w:rsid w:val="00BD7CE8"/>
    <w:rsid w:val="00BD7D55"/>
    <w:rsid w:val="00BE0070"/>
    <w:rsid w:val="00BE038A"/>
    <w:rsid w:val="00BE04CF"/>
    <w:rsid w:val="00BE0768"/>
    <w:rsid w:val="00BE1400"/>
    <w:rsid w:val="00BE1F5A"/>
    <w:rsid w:val="00BE25AA"/>
    <w:rsid w:val="00BE2672"/>
    <w:rsid w:val="00BE2B1E"/>
    <w:rsid w:val="00BE2B90"/>
    <w:rsid w:val="00BE2FCF"/>
    <w:rsid w:val="00BE3114"/>
    <w:rsid w:val="00BE315D"/>
    <w:rsid w:val="00BE32B3"/>
    <w:rsid w:val="00BE3524"/>
    <w:rsid w:val="00BE37DE"/>
    <w:rsid w:val="00BE3FBF"/>
    <w:rsid w:val="00BE410A"/>
    <w:rsid w:val="00BE4178"/>
    <w:rsid w:val="00BE418F"/>
    <w:rsid w:val="00BE4393"/>
    <w:rsid w:val="00BE4401"/>
    <w:rsid w:val="00BE4458"/>
    <w:rsid w:val="00BE44F4"/>
    <w:rsid w:val="00BE460B"/>
    <w:rsid w:val="00BE46B1"/>
    <w:rsid w:val="00BE472E"/>
    <w:rsid w:val="00BE4C23"/>
    <w:rsid w:val="00BE4FF4"/>
    <w:rsid w:val="00BE50A0"/>
    <w:rsid w:val="00BE5132"/>
    <w:rsid w:val="00BE5886"/>
    <w:rsid w:val="00BE58FB"/>
    <w:rsid w:val="00BE5A16"/>
    <w:rsid w:val="00BE5DCA"/>
    <w:rsid w:val="00BE6736"/>
    <w:rsid w:val="00BE67E2"/>
    <w:rsid w:val="00BE6C48"/>
    <w:rsid w:val="00BE76FA"/>
    <w:rsid w:val="00BE7988"/>
    <w:rsid w:val="00BE7A70"/>
    <w:rsid w:val="00BE7AAE"/>
    <w:rsid w:val="00BE7B6A"/>
    <w:rsid w:val="00BE7E5D"/>
    <w:rsid w:val="00BE7E71"/>
    <w:rsid w:val="00BE7F53"/>
    <w:rsid w:val="00BF06B1"/>
    <w:rsid w:val="00BF0C1A"/>
    <w:rsid w:val="00BF102B"/>
    <w:rsid w:val="00BF1463"/>
    <w:rsid w:val="00BF1502"/>
    <w:rsid w:val="00BF160F"/>
    <w:rsid w:val="00BF16AA"/>
    <w:rsid w:val="00BF179D"/>
    <w:rsid w:val="00BF1892"/>
    <w:rsid w:val="00BF1987"/>
    <w:rsid w:val="00BF20FB"/>
    <w:rsid w:val="00BF2104"/>
    <w:rsid w:val="00BF218F"/>
    <w:rsid w:val="00BF2529"/>
    <w:rsid w:val="00BF29B2"/>
    <w:rsid w:val="00BF2B23"/>
    <w:rsid w:val="00BF2E13"/>
    <w:rsid w:val="00BF30B8"/>
    <w:rsid w:val="00BF30BB"/>
    <w:rsid w:val="00BF30BF"/>
    <w:rsid w:val="00BF367D"/>
    <w:rsid w:val="00BF36A3"/>
    <w:rsid w:val="00BF3DBD"/>
    <w:rsid w:val="00BF3DF3"/>
    <w:rsid w:val="00BF46BE"/>
    <w:rsid w:val="00BF4869"/>
    <w:rsid w:val="00BF4B17"/>
    <w:rsid w:val="00BF5098"/>
    <w:rsid w:val="00BF5121"/>
    <w:rsid w:val="00BF56F9"/>
    <w:rsid w:val="00BF58A0"/>
    <w:rsid w:val="00BF5CEC"/>
    <w:rsid w:val="00BF6367"/>
    <w:rsid w:val="00BF6412"/>
    <w:rsid w:val="00BF6470"/>
    <w:rsid w:val="00BF69C6"/>
    <w:rsid w:val="00BF6A60"/>
    <w:rsid w:val="00BF7820"/>
    <w:rsid w:val="00BF798E"/>
    <w:rsid w:val="00BF7C7E"/>
    <w:rsid w:val="00BF7CD8"/>
    <w:rsid w:val="00BF7E17"/>
    <w:rsid w:val="00BF7E44"/>
    <w:rsid w:val="00BF7F10"/>
    <w:rsid w:val="00C0003A"/>
    <w:rsid w:val="00C00349"/>
    <w:rsid w:val="00C00449"/>
    <w:rsid w:val="00C005CA"/>
    <w:rsid w:val="00C00B4E"/>
    <w:rsid w:val="00C00FD8"/>
    <w:rsid w:val="00C0113B"/>
    <w:rsid w:val="00C01250"/>
    <w:rsid w:val="00C01542"/>
    <w:rsid w:val="00C01609"/>
    <w:rsid w:val="00C0293F"/>
    <w:rsid w:val="00C02BAC"/>
    <w:rsid w:val="00C02CAE"/>
    <w:rsid w:val="00C02D43"/>
    <w:rsid w:val="00C031B1"/>
    <w:rsid w:val="00C031BE"/>
    <w:rsid w:val="00C032C9"/>
    <w:rsid w:val="00C033B0"/>
    <w:rsid w:val="00C034F6"/>
    <w:rsid w:val="00C03B19"/>
    <w:rsid w:val="00C03D1A"/>
    <w:rsid w:val="00C0401D"/>
    <w:rsid w:val="00C04332"/>
    <w:rsid w:val="00C045B1"/>
    <w:rsid w:val="00C0480E"/>
    <w:rsid w:val="00C0492C"/>
    <w:rsid w:val="00C04DAF"/>
    <w:rsid w:val="00C04F91"/>
    <w:rsid w:val="00C0506E"/>
    <w:rsid w:val="00C0543F"/>
    <w:rsid w:val="00C05486"/>
    <w:rsid w:val="00C058A4"/>
    <w:rsid w:val="00C05918"/>
    <w:rsid w:val="00C05C86"/>
    <w:rsid w:val="00C05D42"/>
    <w:rsid w:val="00C05E2B"/>
    <w:rsid w:val="00C0606D"/>
    <w:rsid w:val="00C06464"/>
    <w:rsid w:val="00C071FA"/>
    <w:rsid w:val="00C07AF0"/>
    <w:rsid w:val="00C07BBD"/>
    <w:rsid w:val="00C07C37"/>
    <w:rsid w:val="00C07C82"/>
    <w:rsid w:val="00C07CD4"/>
    <w:rsid w:val="00C1011F"/>
    <w:rsid w:val="00C10A94"/>
    <w:rsid w:val="00C10F2F"/>
    <w:rsid w:val="00C1168A"/>
    <w:rsid w:val="00C118B2"/>
    <w:rsid w:val="00C11FE0"/>
    <w:rsid w:val="00C12660"/>
    <w:rsid w:val="00C12745"/>
    <w:rsid w:val="00C127D8"/>
    <w:rsid w:val="00C12C83"/>
    <w:rsid w:val="00C12F1E"/>
    <w:rsid w:val="00C13270"/>
    <w:rsid w:val="00C1338D"/>
    <w:rsid w:val="00C13563"/>
    <w:rsid w:val="00C137E2"/>
    <w:rsid w:val="00C13B1F"/>
    <w:rsid w:val="00C13D24"/>
    <w:rsid w:val="00C13D84"/>
    <w:rsid w:val="00C13FDE"/>
    <w:rsid w:val="00C14167"/>
    <w:rsid w:val="00C14882"/>
    <w:rsid w:val="00C14A6B"/>
    <w:rsid w:val="00C14E18"/>
    <w:rsid w:val="00C154CB"/>
    <w:rsid w:val="00C154F6"/>
    <w:rsid w:val="00C15571"/>
    <w:rsid w:val="00C1579E"/>
    <w:rsid w:val="00C15D20"/>
    <w:rsid w:val="00C15E55"/>
    <w:rsid w:val="00C15F78"/>
    <w:rsid w:val="00C1605B"/>
    <w:rsid w:val="00C160FA"/>
    <w:rsid w:val="00C164B9"/>
    <w:rsid w:val="00C1665F"/>
    <w:rsid w:val="00C166D6"/>
    <w:rsid w:val="00C16B24"/>
    <w:rsid w:val="00C16D7F"/>
    <w:rsid w:val="00C16E00"/>
    <w:rsid w:val="00C16E9C"/>
    <w:rsid w:val="00C1706C"/>
    <w:rsid w:val="00C173CA"/>
    <w:rsid w:val="00C1748D"/>
    <w:rsid w:val="00C179C4"/>
    <w:rsid w:val="00C17BB0"/>
    <w:rsid w:val="00C17D87"/>
    <w:rsid w:val="00C2008D"/>
    <w:rsid w:val="00C201D5"/>
    <w:rsid w:val="00C20441"/>
    <w:rsid w:val="00C205AE"/>
    <w:rsid w:val="00C2068E"/>
    <w:rsid w:val="00C2073C"/>
    <w:rsid w:val="00C207C8"/>
    <w:rsid w:val="00C20AED"/>
    <w:rsid w:val="00C20B1A"/>
    <w:rsid w:val="00C20B20"/>
    <w:rsid w:val="00C20C9B"/>
    <w:rsid w:val="00C20EF2"/>
    <w:rsid w:val="00C2100F"/>
    <w:rsid w:val="00C210A0"/>
    <w:rsid w:val="00C212DC"/>
    <w:rsid w:val="00C2137D"/>
    <w:rsid w:val="00C219A5"/>
    <w:rsid w:val="00C21E5C"/>
    <w:rsid w:val="00C220F0"/>
    <w:rsid w:val="00C221A1"/>
    <w:rsid w:val="00C22602"/>
    <w:rsid w:val="00C22B66"/>
    <w:rsid w:val="00C22CF4"/>
    <w:rsid w:val="00C22CF9"/>
    <w:rsid w:val="00C231DD"/>
    <w:rsid w:val="00C235E9"/>
    <w:rsid w:val="00C2366A"/>
    <w:rsid w:val="00C2369E"/>
    <w:rsid w:val="00C23868"/>
    <w:rsid w:val="00C23A69"/>
    <w:rsid w:val="00C23BF0"/>
    <w:rsid w:val="00C23E13"/>
    <w:rsid w:val="00C2453C"/>
    <w:rsid w:val="00C2485F"/>
    <w:rsid w:val="00C24A54"/>
    <w:rsid w:val="00C24C41"/>
    <w:rsid w:val="00C251B0"/>
    <w:rsid w:val="00C2525C"/>
    <w:rsid w:val="00C255E7"/>
    <w:rsid w:val="00C2595F"/>
    <w:rsid w:val="00C261A3"/>
    <w:rsid w:val="00C26300"/>
    <w:rsid w:val="00C26509"/>
    <w:rsid w:val="00C265D8"/>
    <w:rsid w:val="00C26863"/>
    <w:rsid w:val="00C26A49"/>
    <w:rsid w:val="00C26DF7"/>
    <w:rsid w:val="00C26E5B"/>
    <w:rsid w:val="00C27266"/>
    <w:rsid w:val="00C27674"/>
    <w:rsid w:val="00C27DFD"/>
    <w:rsid w:val="00C30436"/>
    <w:rsid w:val="00C30875"/>
    <w:rsid w:val="00C30934"/>
    <w:rsid w:val="00C30ADF"/>
    <w:rsid w:val="00C313D7"/>
    <w:rsid w:val="00C314DF"/>
    <w:rsid w:val="00C31581"/>
    <w:rsid w:val="00C317F0"/>
    <w:rsid w:val="00C31EBE"/>
    <w:rsid w:val="00C32076"/>
    <w:rsid w:val="00C321D9"/>
    <w:rsid w:val="00C323BD"/>
    <w:rsid w:val="00C323F7"/>
    <w:rsid w:val="00C32A0F"/>
    <w:rsid w:val="00C32B5F"/>
    <w:rsid w:val="00C32D16"/>
    <w:rsid w:val="00C32F81"/>
    <w:rsid w:val="00C33058"/>
    <w:rsid w:val="00C33083"/>
    <w:rsid w:val="00C33683"/>
    <w:rsid w:val="00C33719"/>
    <w:rsid w:val="00C33845"/>
    <w:rsid w:val="00C33979"/>
    <w:rsid w:val="00C33A07"/>
    <w:rsid w:val="00C33E87"/>
    <w:rsid w:val="00C342DA"/>
    <w:rsid w:val="00C3468D"/>
    <w:rsid w:val="00C34795"/>
    <w:rsid w:val="00C34BD8"/>
    <w:rsid w:val="00C34E24"/>
    <w:rsid w:val="00C34EB8"/>
    <w:rsid w:val="00C35295"/>
    <w:rsid w:val="00C35358"/>
    <w:rsid w:val="00C35369"/>
    <w:rsid w:val="00C3556F"/>
    <w:rsid w:val="00C356DC"/>
    <w:rsid w:val="00C359C7"/>
    <w:rsid w:val="00C35B14"/>
    <w:rsid w:val="00C35BD7"/>
    <w:rsid w:val="00C35C9F"/>
    <w:rsid w:val="00C35ED6"/>
    <w:rsid w:val="00C36037"/>
    <w:rsid w:val="00C36517"/>
    <w:rsid w:val="00C36596"/>
    <w:rsid w:val="00C365C0"/>
    <w:rsid w:val="00C36C2B"/>
    <w:rsid w:val="00C36C89"/>
    <w:rsid w:val="00C37084"/>
    <w:rsid w:val="00C370AC"/>
    <w:rsid w:val="00C3755D"/>
    <w:rsid w:val="00C376B8"/>
    <w:rsid w:val="00C377F7"/>
    <w:rsid w:val="00C37957"/>
    <w:rsid w:val="00C379B8"/>
    <w:rsid w:val="00C4048E"/>
    <w:rsid w:val="00C4053F"/>
    <w:rsid w:val="00C40646"/>
    <w:rsid w:val="00C4078F"/>
    <w:rsid w:val="00C40DF8"/>
    <w:rsid w:val="00C410E8"/>
    <w:rsid w:val="00C4132F"/>
    <w:rsid w:val="00C4156F"/>
    <w:rsid w:val="00C417F3"/>
    <w:rsid w:val="00C41A0C"/>
    <w:rsid w:val="00C41E27"/>
    <w:rsid w:val="00C421C0"/>
    <w:rsid w:val="00C42374"/>
    <w:rsid w:val="00C4238F"/>
    <w:rsid w:val="00C423A6"/>
    <w:rsid w:val="00C42560"/>
    <w:rsid w:val="00C4280B"/>
    <w:rsid w:val="00C42E3C"/>
    <w:rsid w:val="00C43088"/>
    <w:rsid w:val="00C4399C"/>
    <w:rsid w:val="00C43A57"/>
    <w:rsid w:val="00C43A94"/>
    <w:rsid w:val="00C443D6"/>
    <w:rsid w:val="00C44409"/>
    <w:rsid w:val="00C445E4"/>
    <w:rsid w:val="00C44649"/>
    <w:rsid w:val="00C44742"/>
    <w:rsid w:val="00C4474E"/>
    <w:rsid w:val="00C44B20"/>
    <w:rsid w:val="00C44CE4"/>
    <w:rsid w:val="00C45080"/>
    <w:rsid w:val="00C451AE"/>
    <w:rsid w:val="00C454D0"/>
    <w:rsid w:val="00C45B17"/>
    <w:rsid w:val="00C45C86"/>
    <w:rsid w:val="00C461B8"/>
    <w:rsid w:val="00C464E7"/>
    <w:rsid w:val="00C47350"/>
    <w:rsid w:val="00C47541"/>
    <w:rsid w:val="00C47615"/>
    <w:rsid w:val="00C47883"/>
    <w:rsid w:val="00C479FF"/>
    <w:rsid w:val="00C5009B"/>
    <w:rsid w:val="00C50233"/>
    <w:rsid w:val="00C50313"/>
    <w:rsid w:val="00C50418"/>
    <w:rsid w:val="00C5090D"/>
    <w:rsid w:val="00C50ACF"/>
    <w:rsid w:val="00C50FA4"/>
    <w:rsid w:val="00C51162"/>
    <w:rsid w:val="00C51484"/>
    <w:rsid w:val="00C519F0"/>
    <w:rsid w:val="00C51C08"/>
    <w:rsid w:val="00C51C78"/>
    <w:rsid w:val="00C522A5"/>
    <w:rsid w:val="00C522CC"/>
    <w:rsid w:val="00C5254D"/>
    <w:rsid w:val="00C527A3"/>
    <w:rsid w:val="00C528EE"/>
    <w:rsid w:val="00C52A25"/>
    <w:rsid w:val="00C52B02"/>
    <w:rsid w:val="00C52B8A"/>
    <w:rsid w:val="00C52D6B"/>
    <w:rsid w:val="00C52DFC"/>
    <w:rsid w:val="00C52E33"/>
    <w:rsid w:val="00C52F85"/>
    <w:rsid w:val="00C532F4"/>
    <w:rsid w:val="00C53937"/>
    <w:rsid w:val="00C53988"/>
    <w:rsid w:val="00C53BDA"/>
    <w:rsid w:val="00C53D4E"/>
    <w:rsid w:val="00C53F1F"/>
    <w:rsid w:val="00C53F4A"/>
    <w:rsid w:val="00C540D0"/>
    <w:rsid w:val="00C54610"/>
    <w:rsid w:val="00C54A0F"/>
    <w:rsid w:val="00C54D5D"/>
    <w:rsid w:val="00C54DD3"/>
    <w:rsid w:val="00C54F05"/>
    <w:rsid w:val="00C55327"/>
    <w:rsid w:val="00C55559"/>
    <w:rsid w:val="00C55764"/>
    <w:rsid w:val="00C557C9"/>
    <w:rsid w:val="00C5581A"/>
    <w:rsid w:val="00C55832"/>
    <w:rsid w:val="00C558CD"/>
    <w:rsid w:val="00C55A51"/>
    <w:rsid w:val="00C5600F"/>
    <w:rsid w:val="00C56347"/>
    <w:rsid w:val="00C56906"/>
    <w:rsid w:val="00C570AB"/>
    <w:rsid w:val="00C571A0"/>
    <w:rsid w:val="00C577E8"/>
    <w:rsid w:val="00C578CC"/>
    <w:rsid w:val="00C57AF7"/>
    <w:rsid w:val="00C57D32"/>
    <w:rsid w:val="00C60272"/>
    <w:rsid w:val="00C602A1"/>
    <w:rsid w:val="00C6061F"/>
    <w:rsid w:val="00C60731"/>
    <w:rsid w:val="00C6078E"/>
    <w:rsid w:val="00C60E8B"/>
    <w:rsid w:val="00C6125B"/>
    <w:rsid w:val="00C61350"/>
    <w:rsid w:val="00C61699"/>
    <w:rsid w:val="00C618B3"/>
    <w:rsid w:val="00C61ED1"/>
    <w:rsid w:val="00C6227B"/>
    <w:rsid w:val="00C624F8"/>
    <w:rsid w:val="00C6251F"/>
    <w:rsid w:val="00C62A16"/>
    <w:rsid w:val="00C62F8F"/>
    <w:rsid w:val="00C6309D"/>
    <w:rsid w:val="00C6335B"/>
    <w:rsid w:val="00C633A8"/>
    <w:rsid w:val="00C633E8"/>
    <w:rsid w:val="00C637BC"/>
    <w:rsid w:val="00C63B8F"/>
    <w:rsid w:val="00C63DB4"/>
    <w:rsid w:val="00C63E21"/>
    <w:rsid w:val="00C63ED1"/>
    <w:rsid w:val="00C63FF5"/>
    <w:rsid w:val="00C6402B"/>
    <w:rsid w:val="00C6427F"/>
    <w:rsid w:val="00C649C1"/>
    <w:rsid w:val="00C64A53"/>
    <w:rsid w:val="00C64BAA"/>
    <w:rsid w:val="00C65095"/>
    <w:rsid w:val="00C651C6"/>
    <w:rsid w:val="00C6543F"/>
    <w:rsid w:val="00C6588E"/>
    <w:rsid w:val="00C65908"/>
    <w:rsid w:val="00C659F2"/>
    <w:rsid w:val="00C65F04"/>
    <w:rsid w:val="00C65FB9"/>
    <w:rsid w:val="00C66059"/>
    <w:rsid w:val="00C660D4"/>
    <w:rsid w:val="00C66122"/>
    <w:rsid w:val="00C6625A"/>
    <w:rsid w:val="00C6631A"/>
    <w:rsid w:val="00C66622"/>
    <w:rsid w:val="00C66A56"/>
    <w:rsid w:val="00C66BCD"/>
    <w:rsid w:val="00C66C87"/>
    <w:rsid w:val="00C66D62"/>
    <w:rsid w:val="00C66EF6"/>
    <w:rsid w:val="00C671C9"/>
    <w:rsid w:val="00C67328"/>
    <w:rsid w:val="00C67A4D"/>
    <w:rsid w:val="00C67BB5"/>
    <w:rsid w:val="00C67C2F"/>
    <w:rsid w:val="00C67CD9"/>
    <w:rsid w:val="00C67FBD"/>
    <w:rsid w:val="00C70264"/>
    <w:rsid w:val="00C7053F"/>
    <w:rsid w:val="00C70E7F"/>
    <w:rsid w:val="00C710C5"/>
    <w:rsid w:val="00C7133F"/>
    <w:rsid w:val="00C7148E"/>
    <w:rsid w:val="00C714EB"/>
    <w:rsid w:val="00C7150D"/>
    <w:rsid w:val="00C7176E"/>
    <w:rsid w:val="00C71C33"/>
    <w:rsid w:val="00C71DD6"/>
    <w:rsid w:val="00C72216"/>
    <w:rsid w:val="00C7243A"/>
    <w:rsid w:val="00C72576"/>
    <w:rsid w:val="00C726F8"/>
    <w:rsid w:val="00C72A73"/>
    <w:rsid w:val="00C72A7A"/>
    <w:rsid w:val="00C72B1C"/>
    <w:rsid w:val="00C734BD"/>
    <w:rsid w:val="00C739A1"/>
    <w:rsid w:val="00C741E7"/>
    <w:rsid w:val="00C74438"/>
    <w:rsid w:val="00C744E6"/>
    <w:rsid w:val="00C74575"/>
    <w:rsid w:val="00C749FE"/>
    <w:rsid w:val="00C74A31"/>
    <w:rsid w:val="00C7537A"/>
    <w:rsid w:val="00C756DC"/>
    <w:rsid w:val="00C75A05"/>
    <w:rsid w:val="00C76094"/>
    <w:rsid w:val="00C76917"/>
    <w:rsid w:val="00C76F70"/>
    <w:rsid w:val="00C7716D"/>
    <w:rsid w:val="00C772F7"/>
    <w:rsid w:val="00C7734A"/>
    <w:rsid w:val="00C7734C"/>
    <w:rsid w:val="00C77C01"/>
    <w:rsid w:val="00C77E53"/>
    <w:rsid w:val="00C803C9"/>
    <w:rsid w:val="00C806C5"/>
    <w:rsid w:val="00C80D33"/>
    <w:rsid w:val="00C81011"/>
    <w:rsid w:val="00C81717"/>
    <w:rsid w:val="00C817CC"/>
    <w:rsid w:val="00C8195E"/>
    <w:rsid w:val="00C81B02"/>
    <w:rsid w:val="00C825BD"/>
    <w:rsid w:val="00C825C2"/>
    <w:rsid w:val="00C82775"/>
    <w:rsid w:val="00C82EA7"/>
    <w:rsid w:val="00C83197"/>
    <w:rsid w:val="00C834E7"/>
    <w:rsid w:val="00C8357B"/>
    <w:rsid w:val="00C8380C"/>
    <w:rsid w:val="00C83814"/>
    <w:rsid w:val="00C8384F"/>
    <w:rsid w:val="00C838E4"/>
    <w:rsid w:val="00C83A17"/>
    <w:rsid w:val="00C83B36"/>
    <w:rsid w:val="00C83C25"/>
    <w:rsid w:val="00C83E10"/>
    <w:rsid w:val="00C83E30"/>
    <w:rsid w:val="00C845CB"/>
    <w:rsid w:val="00C8462F"/>
    <w:rsid w:val="00C84A61"/>
    <w:rsid w:val="00C84C21"/>
    <w:rsid w:val="00C84F07"/>
    <w:rsid w:val="00C852DD"/>
    <w:rsid w:val="00C85DEA"/>
    <w:rsid w:val="00C85EFE"/>
    <w:rsid w:val="00C85F76"/>
    <w:rsid w:val="00C861AB"/>
    <w:rsid w:val="00C86292"/>
    <w:rsid w:val="00C8629C"/>
    <w:rsid w:val="00C8672A"/>
    <w:rsid w:val="00C8681B"/>
    <w:rsid w:val="00C86843"/>
    <w:rsid w:val="00C868DF"/>
    <w:rsid w:val="00C86AD8"/>
    <w:rsid w:val="00C86EDE"/>
    <w:rsid w:val="00C8721F"/>
    <w:rsid w:val="00C90019"/>
    <w:rsid w:val="00C90039"/>
    <w:rsid w:val="00C90048"/>
    <w:rsid w:val="00C90137"/>
    <w:rsid w:val="00C901D6"/>
    <w:rsid w:val="00C9048A"/>
    <w:rsid w:val="00C907CF"/>
    <w:rsid w:val="00C90883"/>
    <w:rsid w:val="00C90B3D"/>
    <w:rsid w:val="00C90B80"/>
    <w:rsid w:val="00C90B8A"/>
    <w:rsid w:val="00C90F71"/>
    <w:rsid w:val="00C90FE8"/>
    <w:rsid w:val="00C911FE"/>
    <w:rsid w:val="00C914E7"/>
    <w:rsid w:val="00C914FC"/>
    <w:rsid w:val="00C91545"/>
    <w:rsid w:val="00C91A40"/>
    <w:rsid w:val="00C91D15"/>
    <w:rsid w:val="00C9205E"/>
    <w:rsid w:val="00C92235"/>
    <w:rsid w:val="00C9259D"/>
    <w:rsid w:val="00C929E4"/>
    <w:rsid w:val="00C92AC9"/>
    <w:rsid w:val="00C92C12"/>
    <w:rsid w:val="00C93271"/>
    <w:rsid w:val="00C93367"/>
    <w:rsid w:val="00C93494"/>
    <w:rsid w:val="00C934D2"/>
    <w:rsid w:val="00C93546"/>
    <w:rsid w:val="00C9367B"/>
    <w:rsid w:val="00C93D8E"/>
    <w:rsid w:val="00C9440C"/>
    <w:rsid w:val="00C94419"/>
    <w:rsid w:val="00C94462"/>
    <w:rsid w:val="00C94982"/>
    <w:rsid w:val="00C94C37"/>
    <w:rsid w:val="00C94D42"/>
    <w:rsid w:val="00C9501E"/>
    <w:rsid w:val="00C9508E"/>
    <w:rsid w:val="00C952FD"/>
    <w:rsid w:val="00C9536A"/>
    <w:rsid w:val="00C9576A"/>
    <w:rsid w:val="00C9629E"/>
    <w:rsid w:val="00C96735"/>
    <w:rsid w:val="00C96811"/>
    <w:rsid w:val="00C96A5D"/>
    <w:rsid w:val="00C96B9B"/>
    <w:rsid w:val="00C96FD4"/>
    <w:rsid w:val="00C973B4"/>
    <w:rsid w:val="00C97A52"/>
    <w:rsid w:val="00C97FDF"/>
    <w:rsid w:val="00CA04C3"/>
    <w:rsid w:val="00CA04CC"/>
    <w:rsid w:val="00CA09E4"/>
    <w:rsid w:val="00CA0D30"/>
    <w:rsid w:val="00CA1484"/>
    <w:rsid w:val="00CA1630"/>
    <w:rsid w:val="00CA1D37"/>
    <w:rsid w:val="00CA1ED0"/>
    <w:rsid w:val="00CA25AD"/>
    <w:rsid w:val="00CA28A8"/>
    <w:rsid w:val="00CA2B08"/>
    <w:rsid w:val="00CA2CAD"/>
    <w:rsid w:val="00CA341A"/>
    <w:rsid w:val="00CA3432"/>
    <w:rsid w:val="00CA3529"/>
    <w:rsid w:val="00CA36F4"/>
    <w:rsid w:val="00CA3AD0"/>
    <w:rsid w:val="00CA3B4A"/>
    <w:rsid w:val="00CA3D1D"/>
    <w:rsid w:val="00CA3D3B"/>
    <w:rsid w:val="00CA40A5"/>
    <w:rsid w:val="00CA4611"/>
    <w:rsid w:val="00CA4958"/>
    <w:rsid w:val="00CA4A9D"/>
    <w:rsid w:val="00CA4CBD"/>
    <w:rsid w:val="00CA4D6A"/>
    <w:rsid w:val="00CA5056"/>
    <w:rsid w:val="00CA509C"/>
    <w:rsid w:val="00CA520F"/>
    <w:rsid w:val="00CA5667"/>
    <w:rsid w:val="00CA5813"/>
    <w:rsid w:val="00CA58BD"/>
    <w:rsid w:val="00CA5EE6"/>
    <w:rsid w:val="00CA6038"/>
    <w:rsid w:val="00CA60B4"/>
    <w:rsid w:val="00CA61EF"/>
    <w:rsid w:val="00CA6452"/>
    <w:rsid w:val="00CA6688"/>
    <w:rsid w:val="00CA6961"/>
    <w:rsid w:val="00CA6A61"/>
    <w:rsid w:val="00CA6C31"/>
    <w:rsid w:val="00CA7627"/>
    <w:rsid w:val="00CA7729"/>
    <w:rsid w:val="00CA7749"/>
    <w:rsid w:val="00CA7B21"/>
    <w:rsid w:val="00CA7DD9"/>
    <w:rsid w:val="00CA7FFA"/>
    <w:rsid w:val="00CB0491"/>
    <w:rsid w:val="00CB0820"/>
    <w:rsid w:val="00CB0A03"/>
    <w:rsid w:val="00CB0A91"/>
    <w:rsid w:val="00CB0D52"/>
    <w:rsid w:val="00CB0F9E"/>
    <w:rsid w:val="00CB1023"/>
    <w:rsid w:val="00CB19C1"/>
    <w:rsid w:val="00CB1A73"/>
    <w:rsid w:val="00CB1A76"/>
    <w:rsid w:val="00CB1ECD"/>
    <w:rsid w:val="00CB2474"/>
    <w:rsid w:val="00CB25D6"/>
    <w:rsid w:val="00CB29E7"/>
    <w:rsid w:val="00CB2B9F"/>
    <w:rsid w:val="00CB2BEC"/>
    <w:rsid w:val="00CB2BF1"/>
    <w:rsid w:val="00CB2D67"/>
    <w:rsid w:val="00CB2FB4"/>
    <w:rsid w:val="00CB2FD5"/>
    <w:rsid w:val="00CB329F"/>
    <w:rsid w:val="00CB33BF"/>
    <w:rsid w:val="00CB3736"/>
    <w:rsid w:val="00CB3E19"/>
    <w:rsid w:val="00CB4139"/>
    <w:rsid w:val="00CB457C"/>
    <w:rsid w:val="00CB4CCF"/>
    <w:rsid w:val="00CB5226"/>
    <w:rsid w:val="00CB5651"/>
    <w:rsid w:val="00CB584D"/>
    <w:rsid w:val="00CB5A0C"/>
    <w:rsid w:val="00CB5D76"/>
    <w:rsid w:val="00CB5E79"/>
    <w:rsid w:val="00CB5F4E"/>
    <w:rsid w:val="00CB6071"/>
    <w:rsid w:val="00CB60CE"/>
    <w:rsid w:val="00CB6466"/>
    <w:rsid w:val="00CB660C"/>
    <w:rsid w:val="00CB6750"/>
    <w:rsid w:val="00CB69E5"/>
    <w:rsid w:val="00CB6C70"/>
    <w:rsid w:val="00CB6EAB"/>
    <w:rsid w:val="00CB71FE"/>
    <w:rsid w:val="00CB722C"/>
    <w:rsid w:val="00CB7499"/>
    <w:rsid w:val="00CB7C77"/>
    <w:rsid w:val="00CB7D33"/>
    <w:rsid w:val="00CB7D57"/>
    <w:rsid w:val="00CC00B7"/>
    <w:rsid w:val="00CC026A"/>
    <w:rsid w:val="00CC055E"/>
    <w:rsid w:val="00CC0778"/>
    <w:rsid w:val="00CC0BDE"/>
    <w:rsid w:val="00CC0E30"/>
    <w:rsid w:val="00CC0E94"/>
    <w:rsid w:val="00CC11BB"/>
    <w:rsid w:val="00CC1BC1"/>
    <w:rsid w:val="00CC24AF"/>
    <w:rsid w:val="00CC26D0"/>
    <w:rsid w:val="00CC331A"/>
    <w:rsid w:val="00CC35A5"/>
    <w:rsid w:val="00CC39B7"/>
    <w:rsid w:val="00CC3A6F"/>
    <w:rsid w:val="00CC4003"/>
    <w:rsid w:val="00CC407E"/>
    <w:rsid w:val="00CC4258"/>
    <w:rsid w:val="00CC442D"/>
    <w:rsid w:val="00CC4505"/>
    <w:rsid w:val="00CC492B"/>
    <w:rsid w:val="00CC4D96"/>
    <w:rsid w:val="00CC4FA0"/>
    <w:rsid w:val="00CC51AF"/>
    <w:rsid w:val="00CC5A61"/>
    <w:rsid w:val="00CC5B1D"/>
    <w:rsid w:val="00CC5CE6"/>
    <w:rsid w:val="00CC608E"/>
    <w:rsid w:val="00CC6663"/>
    <w:rsid w:val="00CC6826"/>
    <w:rsid w:val="00CC68DE"/>
    <w:rsid w:val="00CC6B8E"/>
    <w:rsid w:val="00CC6E51"/>
    <w:rsid w:val="00CC6EA0"/>
    <w:rsid w:val="00CC76D1"/>
    <w:rsid w:val="00CC7733"/>
    <w:rsid w:val="00CC7736"/>
    <w:rsid w:val="00CC77F8"/>
    <w:rsid w:val="00CC7FD0"/>
    <w:rsid w:val="00CD0213"/>
    <w:rsid w:val="00CD023B"/>
    <w:rsid w:val="00CD0A87"/>
    <w:rsid w:val="00CD0BB9"/>
    <w:rsid w:val="00CD0FD9"/>
    <w:rsid w:val="00CD18A4"/>
    <w:rsid w:val="00CD1EDE"/>
    <w:rsid w:val="00CD1F05"/>
    <w:rsid w:val="00CD2407"/>
    <w:rsid w:val="00CD2540"/>
    <w:rsid w:val="00CD27BC"/>
    <w:rsid w:val="00CD2AB7"/>
    <w:rsid w:val="00CD2D79"/>
    <w:rsid w:val="00CD2E3B"/>
    <w:rsid w:val="00CD33DF"/>
    <w:rsid w:val="00CD353E"/>
    <w:rsid w:val="00CD378F"/>
    <w:rsid w:val="00CD392C"/>
    <w:rsid w:val="00CD3ABF"/>
    <w:rsid w:val="00CD4193"/>
    <w:rsid w:val="00CD41F9"/>
    <w:rsid w:val="00CD44A3"/>
    <w:rsid w:val="00CD4BFC"/>
    <w:rsid w:val="00CD5006"/>
    <w:rsid w:val="00CD5250"/>
    <w:rsid w:val="00CD54A5"/>
    <w:rsid w:val="00CD55C1"/>
    <w:rsid w:val="00CD5AA7"/>
    <w:rsid w:val="00CD5E02"/>
    <w:rsid w:val="00CD63A7"/>
    <w:rsid w:val="00CD6495"/>
    <w:rsid w:val="00CD657E"/>
    <w:rsid w:val="00CD65CE"/>
    <w:rsid w:val="00CD667B"/>
    <w:rsid w:val="00CD67A4"/>
    <w:rsid w:val="00CD6CBD"/>
    <w:rsid w:val="00CD6CE6"/>
    <w:rsid w:val="00CD6D5F"/>
    <w:rsid w:val="00CD7321"/>
    <w:rsid w:val="00CD732B"/>
    <w:rsid w:val="00CD73D1"/>
    <w:rsid w:val="00CD75A8"/>
    <w:rsid w:val="00CD7B64"/>
    <w:rsid w:val="00CD7BF5"/>
    <w:rsid w:val="00CD7E3A"/>
    <w:rsid w:val="00CD7FED"/>
    <w:rsid w:val="00CE01E2"/>
    <w:rsid w:val="00CE0295"/>
    <w:rsid w:val="00CE0402"/>
    <w:rsid w:val="00CE0590"/>
    <w:rsid w:val="00CE0735"/>
    <w:rsid w:val="00CE0891"/>
    <w:rsid w:val="00CE0C68"/>
    <w:rsid w:val="00CE0D6D"/>
    <w:rsid w:val="00CE0D8A"/>
    <w:rsid w:val="00CE1932"/>
    <w:rsid w:val="00CE1B18"/>
    <w:rsid w:val="00CE2B51"/>
    <w:rsid w:val="00CE2C3D"/>
    <w:rsid w:val="00CE2E22"/>
    <w:rsid w:val="00CE30DA"/>
    <w:rsid w:val="00CE31DB"/>
    <w:rsid w:val="00CE329B"/>
    <w:rsid w:val="00CE3351"/>
    <w:rsid w:val="00CE40EE"/>
    <w:rsid w:val="00CE476F"/>
    <w:rsid w:val="00CE4C9B"/>
    <w:rsid w:val="00CE4DC9"/>
    <w:rsid w:val="00CE5227"/>
    <w:rsid w:val="00CE543D"/>
    <w:rsid w:val="00CE573F"/>
    <w:rsid w:val="00CE59C8"/>
    <w:rsid w:val="00CE5BC9"/>
    <w:rsid w:val="00CE5D34"/>
    <w:rsid w:val="00CE5D39"/>
    <w:rsid w:val="00CE61DA"/>
    <w:rsid w:val="00CE683B"/>
    <w:rsid w:val="00CE6B22"/>
    <w:rsid w:val="00CE6B65"/>
    <w:rsid w:val="00CE6D2A"/>
    <w:rsid w:val="00CE71B5"/>
    <w:rsid w:val="00CE7527"/>
    <w:rsid w:val="00CE77E1"/>
    <w:rsid w:val="00CE7F03"/>
    <w:rsid w:val="00CF0113"/>
    <w:rsid w:val="00CF090D"/>
    <w:rsid w:val="00CF0B27"/>
    <w:rsid w:val="00CF0EAC"/>
    <w:rsid w:val="00CF0F90"/>
    <w:rsid w:val="00CF1224"/>
    <w:rsid w:val="00CF122D"/>
    <w:rsid w:val="00CF16CC"/>
    <w:rsid w:val="00CF176B"/>
    <w:rsid w:val="00CF19D3"/>
    <w:rsid w:val="00CF22F2"/>
    <w:rsid w:val="00CF23AF"/>
    <w:rsid w:val="00CF23E3"/>
    <w:rsid w:val="00CF2B1B"/>
    <w:rsid w:val="00CF344A"/>
    <w:rsid w:val="00CF3523"/>
    <w:rsid w:val="00CF35E0"/>
    <w:rsid w:val="00CF3852"/>
    <w:rsid w:val="00CF4948"/>
    <w:rsid w:val="00CF4C43"/>
    <w:rsid w:val="00CF4CF6"/>
    <w:rsid w:val="00CF4D97"/>
    <w:rsid w:val="00CF4DEE"/>
    <w:rsid w:val="00CF4E14"/>
    <w:rsid w:val="00CF4FA5"/>
    <w:rsid w:val="00CF511C"/>
    <w:rsid w:val="00CF52DC"/>
    <w:rsid w:val="00CF53D9"/>
    <w:rsid w:val="00CF55D5"/>
    <w:rsid w:val="00CF5C1D"/>
    <w:rsid w:val="00CF5CE6"/>
    <w:rsid w:val="00CF607E"/>
    <w:rsid w:val="00CF6768"/>
    <w:rsid w:val="00CF6797"/>
    <w:rsid w:val="00CF69D0"/>
    <w:rsid w:val="00CF6A5F"/>
    <w:rsid w:val="00CF6A7E"/>
    <w:rsid w:val="00CF6E24"/>
    <w:rsid w:val="00CF6E8D"/>
    <w:rsid w:val="00CF7672"/>
    <w:rsid w:val="00CF78C3"/>
    <w:rsid w:val="00CF78EB"/>
    <w:rsid w:val="00CF7D1A"/>
    <w:rsid w:val="00CF7E3A"/>
    <w:rsid w:val="00CF7F43"/>
    <w:rsid w:val="00CF7FD0"/>
    <w:rsid w:val="00D003B6"/>
    <w:rsid w:val="00D007A1"/>
    <w:rsid w:val="00D009EE"/>
    <w:rsid w:val="00D00D0A"/>
    <w:rsid w:val="00D014A9"/>
    <w:rsid w:val="00D016EE"/>
    <w:rsid w:val="00D01726"/>
    <w:rsid w:val="00D01810"/>
    <w:rsid w:val="00D0196C"/>
    <w:rsid w:val="00D01971"/>
    <w:rsid w:val="00D01AA0"/>
    <w:rsid w:val="00D01BE4"/>
    <w:rsid w:val="00D01FA9"/>
    <w:rsid w:val="00D026D0"/>
    <w:rsid w:val="00D02FF6"/>
    <w:rsid w:val="00D03479"/>
    <w:rsid w:val="00D03762"/>
    <w:rsid w:val="00D04DAC"/>
    <w:rsid w:val="00D0538E"/>
    <w:rsid w:val="00D059BD"/>
    <w:rsid w:val="00D05F8A"/>
    <w:rsid w:val="00D06A00"/>
    <w:rsid w:val="00D06C60"/>
    <w:rsid w:val="00D06D01"/>
    <w:rsid w:val="00D07818"/>
    <w:rsid w:val="00D0785B"/>
    <w:rsid w:val="00D07EE8"/>
    <w:rsid w:val="00D10344"/>
    <w:rsid w:val="00D103FE"/>
    <w:rsid w:val="00D104DA"/>
    <w:rsid w:val="00D10572"/>
    <w:rsid w:val="00D105DF"/>
    <w:rsid w:val="00D106DB"/>
    <w:rsid w:val="00D1076C"/>
    <w:rsid w:val="00D108FE"/>
    <w:rsid w:val="00D10994"/>
    <w:rsid w:val="00D10ACF"/>
    <w:rsid w:val="00D10AF5"/>
    <w:rsid w:val="00D10F55"/>
    <w:rsid w:val="00D113A8"/>
    <w:rsid w:val="00D11C08"/>
    <w:rsid w:val="00D11D53"/>
    <w:rsid w:val="00D11D87"/>
    <w:rsid w:val="00D1230A"/>
    <w:rsid w:val="00D1275B"/>
    <w:rsid w:val="00D12AF2"/>
    <w:rsid w:val="00D12CB5"/>
    <w:rsid w:val="00D1311F"/>
    <w:rsid w:val="00D13251"/>
    <w:rsid w:val="00D137DB"/>
    <w:rsid w:val="00D13818"/>
    <w:rsid w:val="00D13B93"/>
    <w:rsid w:val="00D13ED7"/>
    <w:rsid w:val="00D13F0C"/>
    <w:rsid w:val="00D1466F"/>
    <w:rsid w:val="00D146FA"/>
    <w:rsid w:val="00D148F4"/>
    <w:rsid w:val="00D14919"/>
    <w:rsid w:val="00D14926"/>
    <w:rsid w:val="00D14AF4"/>
    <w:rsid w:val="00D14CAF"/>
    <w:rsid w:val="00D14EE2"/>
    <w:rsid w:val="00D150EB"/>
    <w:rsid w:val="00D150FB"/>
    <w:rsid w:val="00D15170"/>
    <w:rsid w:val="00D1530B"/>
    <w:rsid w:val="00D154F3"/>
    <w:rsid w:val="00D157A6"/>
    <w:rsid w:val="00D15DC8"/>
    <w:rsid w:val="00D1612A"/>
    <w:rsid w:val="00D1696C"/>
    <w:rsid w:val="00D169BE"/>
    <w:rsid w:val="00D16CB5"/>
    <w:rsid w:val="00D16EF8"/>
    <w:rsid w:val="00D174FE"/>
    <w:rsid w:val="00D17C34"/>
    <w:rsid w:val="00D200D3"/>
    <w:rsid w:val="00D2014E"/>
    <w:rsid w:val="00D203D8"/>
    <w:rsid w:val="00D2044B"/>
    <w:rsid w:val="00D20A85"/>
    <w:rsid w:val="00D20D87"/>
    <w:rsid w:val="00D20F47"/>
    <w:rsid w:val="00D21AD4"/>
    <w:rsid w:val="00D21B14"/>
    <w:rsid w:val="00D21C80"/>
    <w:rsid w:val="00D21F50"/>
    <w:rsid w:val="00D221FD"/>
    <w:rsid w:val="00D22795"/>
    <w:rsid w:val="00D229FC"/>
    <w:rsid w:val="00D22B3F"/>
    <w:rsid w:val="00D22E3F"/>
    <w:rsid w:val="00D2330D"/>
    <w:rsid w:val="00D23378"/>
    <w:rsid w:val="00D239B3"/>
    <w:rsid w:val="00D23AC3"/>
    <w:rsid w:val="00D2460A"/>
    <w:rsid w:val="00D24754"/>
    <w:rsid w:val="00D24993"/>
    <w:rsid w:val="00D249AC"/>
    <w:rsid w:val="00D24F77"/>
    <w:rsid w:val="00D24F9E"/>
    <w:rsid w:val="00D25016"/>
    <w:rsid w:val="00D25289"/>
    <w:rsid w:val="00D25498"/>
    <w:rsid w:val="00D2593B"/>
    <w:rsid w:val="00D25A5F"/>
    <w:rsid w:val="00D25F57"/>
    <w:rsid w:val="00D261CD"/>
    <w:rsid w:val="00D2630D"/>
    <w:rsid w:val="00D268B8"/>
    <w:rsid w:val="00D26B12"/>
    <w:rsid w:val="00D26B72"/>
    <w:rsid w:val="00D270DD"/>
    <w:rsid w:val="00D2774B"/>
    <w:rsid w:val="00D27D79"/>
    <w:rsid w:val="00D27DF1"/>
    <w:rsid w:val="00D30223"/>
    <w:rsid w:val="00D305F4"/>
    <w:rsid w:val="00D30739"/>
    <w:rsid w:val="00D30B05"/>
    <w:rsid w:val="00D30C92"/>
    <w:rsid w:val="00D30E35"/>
    <w:rsid w:val="00D3108A"/>
    <w:rsid w:val="00D316B5"/>
    <w:rsid w:val="00D32052"/>
    <w:rsid w:val="00D3211B"/>
    <w:rsid w:val="00D3270E"/>
    <w:rsid w:val="00D329E7"/>
    <w:rsid w:val="00D33152"/>
    <w:rsid w:val="00D33162"/>
    <w:rsid w:val="00D33328"/>
    <w:rsid w:val="00D33832"/>
    <w:rsid w:val="00D3394C"/>
    <w:rsid w:val="00D33966"/>
    <w:rsid w:val="00D33A32"/>
    <w:rsid w:val="00D3406C"/>
    <w:rsid w:val="00D3429A"/>
    <w:rsid w:val="00D34AB2"/>
    <w:rsid w:val="00D34C86"/>
    <w:rsid w:val="00D34CE0"/>
    <w:rsid w:val="00D34EEC"/>
    <w:rsid w:val="00D35732"/>
    <w:rsid w:val="00D35CD6"/>
    <w:rsid w:val="00D35DC3"/>
    <w:rsid w:val="00D363F0"/>
    <w:rsid w:val="00D364DB"/>
    <w:rsid w:val="00D36779"/>
    <w:rsid w:val="00D36908"/>
    <w:rsid w:val="00D36936"/>
    <w:rsid w:val="00D36A49"/>
    <w:rsid w:val="00D3726E"/>
    <w:rsid w:val="00D37508"/>
    <w:rsid w:val="00D4012F"/>
    <w:rsid w:val="00D40714"/>
    <w:rsid w:val="00D409DA"/>
    <w:rsid w:val="00D40C49"/>
    <w:rsid w:val="00D40CB6"/>
    <w:rsid w:val="00D4137C"/>
    <w:rsid w:val="00D419E3"/>
    <w:rsid w:val="00D41BB2"/>
    <w:rsid w:val="00D41C58"/>
    <w:rsid w:val="00D41EEC"/>
    <w:rsid w:val="00D42010"/>
    <w:rsid w:val="00D422A2"/>
    <w:rsid w:val="00D42ABA"/>
    <w:rsid w:val="00D42B1A"/>
    <w:rsid w:val="00D43178"/>
    <w:rsid w:val="00D43198"/>
    <w:rsid w:val="00D432B1"/>
    <w:rsid w:val="00D434EA"/>
    <w:rsid w:val="00D435BE"/>
    <w:rsid w:val="00D435E5"/>
    <w:rsid w:val="00D43D83"/>
    <w:rsid w:val="00D44119"/>
    <w:rsid w:val="00D44251"/>
    <w:rsid w:val="00D44528"/>
    <w:rsid w:val="00D44A63"/>
    <w:rsid w:val="00D44CC2"/>
    <w:rsid w:val="00D44DB5"/>
    <w:rsid w:val="00D452E5"/>
    <w:rsid w:val="00D45A87"/>
    <w:rsid w:val="00D45BF1"/>
    <w:rsid w:val="00D45E47"/>
    <w:rsid w:val="00D464E7"/>
    <w:rsid w:val="00D46F90"/>
    <w:rsid w:val="00D47A8D"/>
    <w:rsid w:val="00D47B5A"/>
    <w:rsid w:val="00D47B93"/>
    <w:rsid w:val="00D502A6"/>
    <w:rsid w:val="00D50446"/>
    <w:rsid w:val="00D506A5"/>
    <w:rsid w:val="00D50A0D"/>
    <w:rsid w:val="00D50B27"/>
    <w:rsid w:val="00D50B66"/>
    <w:rsid w:val="00D50EC6"/>
    <w:rsid w:val="00D510D4"/>
    <w:rsid w:val="00D510DC"/>
    <w:rsid w:val="00D511E9"/>
    <w:rsid w:val="00D518B0"/>
    <w:rsid w:val="00D51EBB"/>
    <w:rsid w:val="00D52376"/>
    <w:rsid w:val="00D523BF"/>
    <w:rsid w:val="00D52851"/>
    <w:rsid w:val="00D52B16"/>
    <w:rsid w:val="00D52BBD"/>
    <w:rsid w:val="00D52F12"/>
    <w:rsid w:val="00D52FDD"/>
    <w:rsid w:val="00D5348C"/>
    <w:rsid w:val="00D534BD"/>
    <w:rsid w:val="00D534C5"/>
    <w:rsid w:val="00D536D6"/>
    <w:rsid w:val="00D5399A"/>
    <w:rsid w:val="00D53BB4"/>
    <w:rsid w:val="00D53BB6"/>
    <w:rsid w:val="00D54332"/>
    <w:rsid w:val="00D5496F"/>
    <w:rsid w:val="00D54983"/>
    <w:rsid w:val="00D54ADE"/>
    <w:rsid w:val="00D54D83"/>
    <w:rsid w:val="00D54FE8"/>
    <w:rsid w:val="00D55424"/>
    <w:rsid w:val="00D55ACE"/>
    <w:rsid w:val="00D55DC0"/>
    <w:rsid w:val="00D55E6C"/>
    <w:rsid w:val="00D56165"/>
    <w:rsid w:val="00D562C6"/>
    <w:rsid w:val="00D563C9"/>
    <w:rsid w:val="00D566AD"/>
    <w:rsid w:val="00D56780"/>
    <w:rsid w:val="00D56CA6"/>
    <w:rsid w:val="00D56E4E"/>
    <w:rsid w:val="00D56F1B"/>
    <w:rsid w:val="00D56F86"/>
    <w:rsid w:val="00D57003"/>
    <w:rsid w:val="00D57179"/>
    <w:rsid w:val="00D5725A"/>
    <w:rsid w:val="00D57935"/>
    <w:rsid w:val="00D57DB2"/>
    <w:rsid w:val="00D57E32"/>
    <w:rsid w:val="00D600F2"/>
    <w:rsid w:val="00D60108"/>
    <w:rsid w:val="00D609F8"/>
    <w:rsid w:val="00D60A48"/>
    <w:rsid w:val="00D60D28"/>
    <w:rsid w:val="00D60DAE"/>
    <w:rsid w:val="00D613EA"/>
    <w:rsid w:val="00D614A9"/>
    <w:rsid w:val="00D614F5"/>
    <w:rsid w:val="00D615B1"/>
    <w:rsid w:val="00D6196F"/>
    <w:rsid w:val="00D62676"/>
    <w:rsid w:val="00D626FF"/>
    <w:rsid w:val="00D6275D"/>
    <w:rsid w:val="00D62AF9"/>
    <w:rsid w:val="00D62F52"/>
    <w:rsid w:val="00D6319B"/>
    <w:rsid w:val="00D631F8"/>
    <w:rsid w:val="00D633E7"/>
    <w:rsid w:val="00D633F3"/>
    <w:rsid w:val="00D634A1"/>
    <w:rsid w:val="00D6371C"/>
    <w:rsid w:val="00D63AE8"/>
    <w:rsid w:val="00D63DDA"/>
    <w:rsid w:val="00D63EFC"/>
    <w:rsid w:val="00D63F37"/>
    <w:rsid w:val="00D64234"/>
    <w:rsid w:val="00D64A13"/>
    <w:rsid w:val="00D64A9D"/>
    <w:rsid w:val="00D64C59"/>
    <w:rsid w:val="00D64DEB"/>
    <w:rsid w:val="00D654AF"/>
    <w:rsid w:val="00D6553E"/>
    <w:rsid w:val="00D65564"/>
    <w:rsid w:val="00D65679"/>
    <w:rsid w:val="00D65941"/>
    <w:rsid w:val="00D65BA4"/>
    <w:rsid w:val="00D65D32"/>
    <w:rsid w:val="00D65DAC"/>
    <w:rsid w:val="00D66054"/>
    <w:rsid w:val="00D6614A"/>
    <w:rsid w:val="00D6644A"/>
    <w:rsid w:val="00D66F03"/>
    <w:rsid w:val="00D6769D"/>
    <w:rsid w:val="00D67F2B"/>
    <w:rsid w:val="00D70145"/>
    <w:rsid w:val="00D702CE"/>
    <w:rsid w:val="00D70548"/>
    <w:rsid w:val="00D70AD3"/>
    <w:rsid w:val="00D70B0F"/>
    <w:rsid w:val="00D715E2"/>
    <w:rsid w:val="00D71749"/>
    <w:rsid w:val="00D71B35"/>
    <w:rsid w:val="00D7207E"/>
    <w:rsid w:val="00D7232D"/>
    <w:rsid w:val="00D72393"/>
    <w:rsid w:val="00D7273A"/>
    <w:rsid w:val="00D72905"/>
    <w:rsid w:val="00D72AE9"/>
    <w:rsid w:val="00D72E1E"/>
    <w:rsid w:val="00D73167"/>
    <w:rsid w:val="00D732AC"/>
    <w:rsid w:val="00D7362E"/>
    <w:rsid w:val="00D73B11"/>
    <w:rsid w:val="00D74310"/>
    <w:rsid w:val="00D745BC"/>
    <w:rsid w:val="00D745C0"/>
    <w:rsid w:val="00D745EC"/>
    <w:rsid w:val="00D747CB"/>
    <w:rsid w:val="00D74C67"/>
    <w:rsid w:val="00D74E40"/>
    <w:rsid w:val="00D7500A"/>
    <w:rsid w:val="00D752C0"/>
    <w:rsid w:val="00D75348"/>
    <w:rsid w:val="00D75408"/>
    <w:rsid w:val="00D754D9"/>
    <w:rsid w:val="00D75505"/>
    <w:rsid w:val="00D7556B"/>
    <w:rsid w:val="00D7566D"/>
    <w:rsid w:val="00D758A8"/>
    <w:rsid w:val="00D7591E"/>
    <w:rsid w:val="00D75BF2"/>
    <w:rsid w:val="00D75E90"/>
    <w:rsid w:val="00D75F4C"/>
    <w:rsid w:val="00D764F6"/>
    <w:rsid w:val="00D7689C"/>
    <w:rsid w:val="00D7694D"/>
    <w:rsid w:val="00D76D91"/>
    <w:rsid w:val="00D76E1F"/>
    <w:rsid w:val="00D77070"/>
    <w:rsid w:val="00D77135"/>
    <w:rsid w:val="00D7774A"/>
    <w:rsid w:val="00D77C5A"/>
    <w:rsid w:val="00D80055"/>
    <w:rsid w:val="00D8006F"/>
    <w:rsid w:val="00D80539"/>
    <w:rsid w:val="00D8056E"/>
    <w:rsid w:val="00D80770"/>
    <w:rsid w:val="00D809B1"/>
    <w:rsid w:val="00D80CD7"/>
    <w:rsid w:val="00D80E27"/>
    <w:rsid w:val="00D80FFA"/>
    <w:rsid w:val="00D810EF"/>
    <w:rsid w:val="00D811F2"/>
    <w:rsid w:val="00D81474"/>
    <w:rsid w:val="00D81D34"/>
    <w:rsid w:val="00D81EF9"/>
    <w:rsid w:val="00D82097"/>
    <w:rsid w:val="00D822BE"/>
    <w:rsid w:val="00D82D69"/>
    <w:rsid w:val="00D82E9A"/>
    <w:rsid w:val="00D8370E"/>
    <w:rsid w:val="00D8391F"/>
    <w:rsid w:val="00D839AC"/>
    <w:rsid w:val="00D83D0B"/>
    <w:rsid w:val="00D83F72"/>
    <w:rsid w:val="00D83FAB"/>
    <w:rsid w:val="00D84292"/>
    <w:rsid w:val="00D84355"/>
    <w:rsid w:val="00D845C2"/>
    <w:rsid w:val="00D84833"/>
    <w:rsid w:val="00D849E9"/>
    <w:rsid w:val="00D84A5C"/>
    <w:rsid w:val="00D84AE6"/>
    <w:rsid w:val="00D84DEF"/>
    <w:rsid w:val="00D84E6F"/>
    <w:rsid w:val="00D85249"/>
    <w:rsid w:val="00D8547F"/>
    <w:rsid w:val="00D8561F"/>
    <w:rsid w:val="00D859AD"/>
    <w:rsid w:val="00D85FD9"/>
    <w:rsid w:val="00D867C5"/>
    <w:rsid w:val="00D868CD"/>
    <w:rsid w:val="00D86A1C"/>
    <w:rsid w:val="00D86AA4"/>
    <w:rsid w:val="00D86CEF"/>
    <w:rsid w:val="00D86D20"/>
    <w:rsid w:val="00D8758F"/>
    <w:rsid w:val="00D8791E"/>
    <w:rsid w:val="00D87A2A"/>
    <w:rsid w:val="00D87C97"/>
    <w:rsid w:val="00D87D1C"/>
    <w:rsid w:val="00D87FD3"/>
    <w:rsid w:val="00D903CB"/>
    <w:rsid w:val="00D904C1"/>
    <w:rsid w:val="00D90675"/>
    <w:rsid w:val="00D90A6B"/>
    <w:rsid w:val="00D90ABD"/>
    <w:rsid w:val="00D90C0A"/>
    <w:rsid w:val="00D90C1B"/>
    <w:rsid w:val="00D90CBD"/>
    <w:rsid w:val="00D9102F"/>
    <w:rsid w:val="00D911BD"/>
    <w:rsid w:val="00D91413"/>
    <w:rsid w:val="00D9180D"/>
    <w:rsid w:val="00D91823"/>
    <w:rsid w:val="00D91A6D"/>
    <w:rsid w:val="00D91C2F"/>
    <w:rsid w:val="00D91F9F"/>
    <w:rsid w:val="00D924CB"/>
    <w:rsid w:val="00D92C70"/>
    <w:rsid w:val="00D931E4"/>
    <w:rsid w:val="00D93360"/>
    <w:rsid w:val="00D9343E"/>
    <w:rsid w:val="00D9352C"/>
    <w:rsid w:val="00D93AE5"/>
    <w:rsid w:val="00D93C60"/>
    <w:rsid w:val="00D942E6"/>
    <w:rsid w:val="00D94C3E"/>
    <w:rsid w:val="00D95536"/>
    <w:rsid w:val="00D959A7"/>
    <w:rsid w:val="00D95AB6"/>
    <w:rsid w:val="00D95D02"/>
    <w:rsid w:val="00D95F9C"/>
    <w:rsid w:val="00D9607C"/>
    <w:rsid w:val="00D96219"/>
    <w:rsid w:val="00D96906"/>
    <w:rsid w:val="00D97102"/>
    <w:rsid w:val="00D9750B"/>
    <w:rsid w:val="00D9776B"/>
    <w:rsid w:val="00D97859"/>
    <w:rsid w:val="00D9787C"/>
    <w:rsid w:val="00D978AD"/>
    <w:rsid w:val="00D97A99"/>
    <w:rsid w:val="00D97E24"/>
    <w:rsid w:val="00D97F80"/>
    <w:rsid w:val="00D97F84"/>
    <w:rsid w:val="00DA0273"/>
    <w:rsid w:val="00DA059F"/>
    <w:rsid w:val="00DA0661"/>
    <w:rsid w:val="00DA09DC"/>
    <w:rsid w:val="00DA09EE"/>
    <w:rsid w:val="00DA09FB"/>
    <w:rsid w:val="00DA0ABA"/>
    <w:rsid w:val="00DA0D57"/>
    <w:rsid w:val="00DA0EF2"/>
    <w:rsid w:val="00DA123A"/>
    <w:rsid w:val="00DA12B8"/>
    <w:rsid w:val="00DA140D"/>
    <w:rsid w:val="00DA182F"/>
    <w:rsid w:val="00DA18FE"/>
    <w:rsid w:val="00DA198C"/>
    <w:rsid w:val="00DA19A1"/>
    <w:rsid w:val="00DA1A38"/>
    <w:rsid w:val="00DA1B82"/>
    <w:rsid w:val="00DA1E6A"/>
    <w:rsid w:val="00DA2E6C"/>
    <w:rsid w:val="00DA3164"/>
    <w:rsid w:val="00DA31F5"/>
    <w:rsid w:val="00DA344A"/>
    <w:rsid w:val="00DA3503"/>
    <w:rsid w:val="00DA3671"/>
    <w:rsid w:val="00DA394B"/>
    <w:rsid w:val="00DA3C7E"/>
    <w:rsid w:val="00DA3C96"/>
    <w:rsid w:val="00DA3F60"/>
    <w:rsid w:val="00DA3F9A"/>
    <w:rsid w:val="00DA49A4"/>
    <w:rsid w:val="00DA4C4C"/>
    <w:rsid w:val="00DA4D95"/>
    <w:rsid w:val="00DA528B"/>
    <w:rsid w:val="00DA551D"/>
    <w:rsid w:val="00DA56BA"/>
    <w:rsid w:val="00DA5819"/>
    <w:rsid w:val="00DA5856"/>
    <w:rsid w:val="00DA5A42"/>
    <w:rsid w:val="00DA5B78"/>
    <w:rsid w:val="00DA5D88"/>
    <w:rsid w:val="00DA5F30"/>
    <w:rsid w:val="00DA5FB3"/>
    <w:rsid w:val="00DA68AE"/>
    <w:rsid w:val="00DA7160"/>
    <w:rsid w:val="00DA730D"/>
    <w:rsid w:val="00DA737C"/>
    <w:rsid w:val="00DA73AC"/>
    <w:rsid w:val="00DA7861"/>
    <w:rsid w:val="00DA7AAB"/>
    <w:rsid w:val="00DA7DA3"/>
    <w:rsid w:val="00DB02DB"/>
    <w:rsid w:val="00DB03F9"/>
    <w:rsid w:val="00DB0E38"/>
    <w:rsid w:val="00DB10AC"/>
    <w:rsid w:val="00DB1B6E"/>
    <w:rsid w:val="00DB1F23"/>
    <w:rsid w:val="00DB1F35"/>
    <w:rsid w:val="00DB1F90"/>
    <w:rsid w:val="00DB2116"/>
    <w:rsid w:val="00DB2334"/>
    <w:rsid w:val="00DB267B"/>
    <w:rsid w:val="00DB2AE2"/>
    <w:rsid w:val="00DB2D39"/>
    <w:rsid w:val="00DB2D53"/>
    <w:rsid w:val="00DB3246"/>
    <w:rsid w:val="00DB3343"/>
    <w:rsid w:val="00DB3820"/>
    <w:rsid w:val="00DB386C"/>
    <w:rsid w:val="00DB3BB1"/>
    <w:rsid w:val="00DB3C4B"/>
    <w:rsid w:val="00DB3CC3"/>
    <w:rsid w:val="00DB3FE4"/>
    <w:rsid w:val="00DB4B27"/>
    <w:rsid w:val="00DB5098"/>
    <w:rsid w:val="00DB50E7"/>
    <w:rsid w:val="00DB5201"/>
    <w:rsid w:val="00DB5D9A"/>
    <w:rsid w:val="00DB5F04"/>
    <w:rsid w:val="00DB62CA"/>
    <w:rsid w:val="00DB63C7"/>
    <w:rsid w:val="00DB6587"/>
    <w:rsid w:val="00DB6781"/>
    <w:rsid w:val="00DB6A44"/>
    <w:rsid w:val="00DB6D20"/>
    <w:rsid w:val="00DB7119"/>
    <w:rsid w:val="00DB7326"/>
    <w:rsid w:val="00DB7474"/>
    <w:rsid w:val="00DB7B8D"/>
    <w:rsid w:val="00DC0045"/>
    <w:rsid w:val="00DC00DD"/>
    <w:rsid w:val="00DC02B8"/>
    <w:rsid w:val="00DC02CE"/>
    <w:rsid w:val="00DC046D"/>
    <w:rsid w:val="00DC10FE"/>
    <w:rsid w:val="00DC1E78"/>
    <w:rsid w:val="00DC1EB6"/>
    <w:rsid w:val="00DC22DE"/>
    <w:rsid w:val="00DC23A5"/>
    <w:rsid w:val="00DC2A33"/>
    <w:rsid w:val="00DC2C52"/>
    <w:rsid w:val="00DC2D41"/>
    <w:rsid w:val="00DC2D51"/>
    <w:rsid w:val="00DC32AE"/>
    <w:rsid w:val="00DC32CB"/>
    <w:rsid w:val="00DC32FC"/>
    <w:rsid w:val="00DC3893"/>
    <w:rsid w:val="00DC3CE0"/>
    <w:rsid w:val="00DC4221"/>
    <w:rsid w:val="00DC43B7"/>
    <w:rsid w:val="00DC44EF"/>
    <w:rsid w:val="00DC4760"/>
    <w:rsid w:val="00DC47AA"/>
    <w:rsid w:val="00DC4C68"/>
    <w:rsid w:val="00DC4CA2"/>
    <w:rsid w:val="00DC5BC7"/>
    <w:rsid w:val="00DC5C39"/>
    <w:rsid w:val="00DC6030"/>
    <w:rsid w:val="00DC62CA"/>
    <w:rsid w:val="00DC63E0"/>
    <w:rsid w:val="00DC6A79"/>
    <w:rsid w:val="00DC6E9B"/>
    <w:rsid w:val="00DC7458"/>
    <w:rsid w:val="00DD0019"/>
    <w:rsid w:val="00DD07A2"/>
    <w:rsid w:val="00DD08D3"/>
    <w:rsid w:val="00DD0F84"/>
    <w:rsid w:val="00DD1293"/>
    <w:rsid w:val="00DD15EF"/>
    <w:rsid w:val="00DD1646"/>
    <w:rsid w:val="00DD1A35"/>
    <w:rsid w:val="00DD1A74"/>
    <w:rsid w:val="00DD1BBB"/>
    <w:rsid w:val="00DD1D46"/>
    <w:rsid w:val="00DD1F93"/>
    <w:rsid w:val="00DD21BD"/>
    <w:rsid w:val="00DD244A"/>
    <w:rsid w:val="00DD2522"/>
    <w:rsid w:val="00DD2617"/>
    <w:rsid w:val="00DD26D5"/>
    <w:rsid w:val="00DD26FB"/>
    <w:rsid w:val="00DD3314"/>
    <w:rsid w:val="00DD3877"/>
    <w:rsid w:val="00DD3B20"/>
    <w:rsid w:val="00DD3CCF"/>
    <w:rsid w:val="00DD3D9F"/>
    <w:rsid w:val="00DD4110"/>
    <w:rsid w:val="00DD4200"/>
    <w:rsid w:val="00DD4379"/>
    <w:rsid w:val="00DD4779"/>
    <w:rsid w:val="00DD49E1"/>
    <w:rsid w:val="00DD4A33"/>
    <w:rsid w:val="00DD4BAC"/>
    <w:rsid w:val="00DD4D26"/>
    <w:rsid w:val="00DD4E31"/>
    <w:rsid w:val="00DD584B"/>
    <w:rsid w:val="00DD585E"/>
    <w:rsid w:val="00DD5AB5"/>
    <w:rsid w:val="00DD5B6B"/>
    <w:rsid w:val="00DD5CBE"/>
    <w:rsid w:val="00DD5DBB"/>
    <w:rsid w:val="00DD68DB"/>
    <w:rsid w:val="00DD71B2"/>
    <w:rsid w:val="00DD746B"/>
    <w:rsid w:val="00DD75A3"/>
    <w:rsid w:val="00DD7C15"/>
    <w:rsid w:val="00DD7EB3"/>
    <w:rsid w:val="00DE0159"/>
    <w:rsid w:val="00DE0203"/>
    <w:rsid w:val="00DE0357"/>
    <w:rsid w:val="00DE05DB"/>
    <w:rsid w:val="00DE07A5"/>
    <w:rsid w:val="00DE0BD4"/>
    <w:rsid w:val="00DE0C68"/>
    <w:rsid w:val="00DE0E40"/>
    <w:rsid w:val="00DE0E48"/>
    <w:rsid w:val="00DE1006"/>
    <w:rsid w:val="00DE11E5"/>
    <w:rsid w:val="00DE1464"/>
    <w:rsid w:val="00DE1689"/>
    <w:rsid w:val="00DE1E2C"/>
    <w:rsid w:val="00DE2799"/>
    <w:rsid w:val="00DE2E75"/>
    <w:rsid w:val="00DE2F8E"/>
    <w:rsid w:val="00DE3C65"/>
    <w:rsid w:val="00DE4098"/>
    <w:rsid w:val="00DE440C"/>
    <w:rsid w:val="00DE4A34"/>
    <w:rsid w:val="00DE527D"/>
    <w:rsid w:val="00DE5655"/>
    <w:rsid w:val="00DE5AC2"/>
    <w:rsid w:val="00DE5CA1"/>
    <w:rsid w:val="00DE5D56"/>
    <w:rsid w:val="00DE5F20"/>
    <w:rsid w:val="00DE60C7"/>
    <w:rsid w:val="00DE662E"/>
    <w:rsid w:val="00DE69EA"/>
    <w:rsid w:val="00DE6B1F"/>
    <w:rsid w:val="00DE6D64"/>
    <w:rsid w:val="00DE6D7C"/>
    <w:rsid w:val="00DE6DF2"/>
    <w:rsid w:val="00DE75C4"/>
    <w:rsid w:val="00DE75F9"/>
    <w:rsid w:val="00DE796E"/>
    <w:rsid w:val="00DE79F2"/>
    <w:rsid w:val="00DE7EA4"/>
    <w:rsid w:val="00DE7F90"/>
    <w:rsid w:val="00DF0095"/>
    <w:rsid w:val="00DF0579"/>
    <w:rsid w:val="00DF05A4"/>
    <w:rsid w:val="00DF0AF1"/>
    <w:rsid w:val="00DF11AA"/>
    <w:rsid w:val="00DF1537"/>
    <w:rsid w:val="00DF176D"/>
    <w:rsid w:val="00DF17B6"/>
    <w:rsid w:val="00DF1B43"/>
    <w:rsid w:val="00DF21AC"/>
    <w:rsid w:val="00DF2211"/>
    <w:rsid w:val="00DF2A60"/>
    <w:rsid w:val="00DF34B6"/>
    <w:rsid w:val="00DF36DA"/>
    <w:rsid w:val="00DF37B1"/>
    <w:rsid w:val="00DF3B41"/>
    <w:rsid w:val="00DF3DAC"/>
    <w:rsid w:val="00DF3DB3"/>
    <w:rsid w:val="00DF3E69"/>
    <w:rsid w:val="00DF3EE0"/>
    <w:rsid w:val="00DF44BA"/>
    <w:rsid w:val="00DF468E"/>
    <w:rsid w:val="00DF4A5F"/>
    <w:rsid w:val="00DF4B48"/>
    <w:rsid w:val="00DF4D7C"/>
    <w:rsid w:val="00DF4E6E"/>
    <w:rsid w:val="00DF50FF"/>
    <w:rsid w:val="00DF51A6"/>
    <w:rsid w:val="00DF57D6"/>
    <w:rsid w:val="00DF590D"/>
    <w:rsid w:val="00DF5ABD"/>
    <w:rsid w:val="00DF5B6C"/>
    <w:rsid w:val="00DF5C3A"/>
    <w:rsid w:val="00DF5FB6"/>
    <w:rsid w:val="00DF66F4"/>
    <w:rsid w:val="00DF6E24"/>
    <w:rsid w:val="00DF7BD9"/>
    <w:rsid w:val="00E0004A"/>
    <w:rsid w:val="00E000F0"/>
    <w:rsid w:val="00E00338"/>
    <w:rsid w:val="00E004B4"/>
    <w:rsid w:val="00E00746"/>
    <w:rsid w:val="00E00AE3"/>
    <w:rsid w:val="00E00CDE"/>
    <w:rsid w:val="00E010A7"/>
    <w:rsid w:val="00E0134B"/>
    <w:rsid w:val="00E0198F"/>
    <w:rsid w:val="00E01B3B"/>
    <w:rsid w:val="00E01C70"/>
    <w:rsid w:val="00E01E17"/>
    <w:rsid w:val="00E01E94"/>
    <w:rsid w:val="00E01FB4"/>
    <w:rsid w:val="00E01FC8"/>
    <w:rsid w:val="00E0204E"/>
    <w:rsid w:val="00E02975"/>
    <w:rsid w:val="00E02C0D"/>
    <w:rsid w:val="00E02C6E"/>
    <w:rsid w:val="00E02E70"/>
    <w:rsid w:val="00E0318B"/>
    <w:rsid w:val="00E031E5"/>
    <w:rsid w:val="00E03459"/>
    <w:rsid w:val="00E03B8D"/>
    <w:rsid w:val="00E03CDC"/>
    <w:rsid w:val="00E03D7A"/>
    <w:rsid w:val="00E03EC3"/>
    <w:rsid w:val="00E045BE"/>
    <w:rsid w:val="00E047F8"/>
    <w:rsid w:val="00E048CE"/>
    <w:rsid w:val="00E04BF9"/>
    <w:rsid w:val="00E05015"/>
    <w:rsid w:val="00E05395"/>
    <w:rsid w:val="00E05431"/>
    <w:rsid w:val="00E05583"/>
    <w:rsid w:val="00E058FA"/>
    <w:rsid w:val="00E05AC9"/>
    <w:rsid w:val="00E05FEC"/>
    <w:rsid w:val="00E060DD"/>
    <w:rsid w:val="00E06117"/>
    <w:rsid w:val="00E0616B"/>
    <w:rsid w:val="00E06187"/>
    <w:rsid w:val="00E066DD"/>
    <w:rsid w:val="00E06B14"/>
    <w:rsid w:val="00E06DB9"/>
    <w:rsid w:val="00E06E81"/>
    <w:rsid w:val="00E06F7B"/>
    <w:rsid w:val="00E07101"/>
    <w:rsid w:val="00E07124"/>
    <w:rsid w:val="00E07386"/>
    <w:rsid w:val="00E073AC"/>
    <w:rsid w:val="00E077F5"/>
    <w:rsid w:val="00E078FB"/>
    <w:rsid w:val="00E07B00"/>
    <w:rsid w:val="00E07F74"/>
    <w:rsid w:val="00E107DB"/>
    <w:rsid w:val="00E10B99"/>
    <w:rsid w:val="00E10BFB"/>
    <w:rsid w:val="00E1132B"/>
    <w:rsid w:val="00E11757"/>
    <w:rsid w:val="00E11CB1"/>
    <w:rsid w:val="00E1224F"/>
    <w:rsid w:val="00E12485"/>
    <w:rsid w:val="00E12704"/>
    <w:rsid w:val="00E127CA"/>
    <w:rsid w:val="00E129F0"/>
    <w:rsid w:val="00E12A92"/>
    <w:rsid w:val="00E131E9"/>
    <w:rsid w:val="00E13458"/>
    <w:rsid w:val="00E134D2"/>
    <w:rsid w:val="00E1376E"/>
    <w:rsid w:val="00E138BB"/>
    <w:rsid w:val="00E13907"/>
    <w:rsid w:val="00E139EF"/>
    <w:rsid w:val="00E13A1B"/>
    <w:rsid w:val="00E13A5B"/>
    <w:rsid w:val="00E13AA6"/>
    <w:rsid w:val="00E1413F"/>
    <w:rsid w:val="00E1433D"/>
    <w:rsid w:val="00E143B0"/>
    <w:rsid w:val="00E14576"/>
    <w:rsid w:val="00E14688"/>
    <w:rsid w:val="00E1468B"/>
    <w:rsid w:val="00E149C6"/>
    <w:rsid w:val="00E14D72"/>
    <w:rsid w:val="00E14DF3"/>
    <w:rsid w:val="00E14E3B"/>
    <w:rsid w:val="00E14EC2"/>
    <w:rsid w:val="00E150ED"/>
    <w:rsid w:val="00E153F0"/>
    <w:rsid w:val="00E15899"/>
    <w:rsid w:val="00E158D2"/>
    <w:rsid w:val="00E15A1C"/>
    <w:rsid w:val="00E15A49"/>
    <w:rsid w:val="00E15D80"/>
    <w:rsid w:val="00E15E74"/>
    <w:rsid w:val="00E16344"/>
    <w:rsid w:val="00E16476"/>
    <w:rsid w:val="00E166B0"/>
    <w:rsid w:val="00E169DE"/>
    <w:rsid w:val="00E16BDB"/>
    <w:rsid w:val="00E16D4F"/>
    <w:rsid w:val="00E175B9"/>
    <w:rsid w:val="00E17ABA"/>
    <w:rsid w:val="00E17DF3"/>
    <w:rsid w:val="00E2039F"/>
    <w:rsid w:val="00E20472"/>
    <w:rsid w:val="00E2059A"/>
    <w:rsid w:val="00E207A7"/>
    <w:rsid w:val="00E208F7"/>
    <w:rsid w:val="00E20BD4"/>
    <w:rsid w:val="00E20D66"/>
    <w:rsid w:val="00E212FA"/>
    <w:rsid w:val="00E2132D"/>
    <w:rsid w:val="00E2160C"/>
    <w:rsid w:val="00E21810"/>
    <w:rsid w:val="00E219BA"/>
    <w:rsid w:val="00E21B2C"/>
    <w:rsid w:val="00E21E9A"/>
    <w:rsid w:val="00E22081"/>
    <w:rsid w:val="00E22254"/>
    <w:rsid w:val="00E222A9"/>
    <w:rsid w:val="00E22B06"/>
    <w:rsid w:val="00E22C0B"/>
    <w:rsid w:val="00E22D54"/>
    <w:rsid w:val="00E22E7D"/>
    <w:rsid w:val="00E230C5"/>
    <w:rsid w:val="00E230ED"/>
    <w:rsid w:val="00E2312D"/>
    <w:rsid w:val="00E2322F"/>
    <w:rsid w:val="00E23277"/>
    <w:rsid w:val="00E23519"/>
    <w:rsid w:val="00E23693"/>
    <w:rsid w:val="00E2377D"/>
    <w:rsid w:val="00E239AF"/>
    <w:rsid w:val="00E23AF3"/>
    <w:rsid w:val="00E23E49"/>
    <w:rsid w:val="00E24649"/>
    <w:rsid w:val="00E24912"/>
    <w:rsid w:val="00E24D25"/>
    <w:rsid w:val="00E24DE4"/>
    <w:rsid w:val="00E24DF7"/>
    <w:rsid w:val="00E24EEA"/>
    <w:rsid w:val="00E251E1"/>
    <w:rsid w:val="00E25313"/>
    <w:rsid w:val="00E253C8"/>
    <w:rsid w:val="00E255B6"/>
    <w:rsid w:val="00E25763"/>
    <w:rsid w:val="00E25A39"/>
    <w:rsid w:val="00E25A5A"/>
    <w:rsid w:val="00E25B08"/>
    <w:rsid w:val="00E25FF2"/>
    <w:rsid w:val="00E26140"/>
    <w:rsid w:val="00E266A8"/>
    <w:rsid w:val="00E26874"/>
    <w:rsid w:val="00E26962"/>
    <w:rsid w:val="00E26972"/>
    <w:rsid w:val="00E26A98"/>
    <w:rsid w:val="00E26B7A"/>
    <w:rsid w:val="00E270CD"/>
    <w:rsid w:val="00E27761"/>
    <w:rsid w:val="00E27A41"/>
    <w:rsid w:val="00E27A8A"/>
    <w:rsid w:val="00E27CAF"/>
    <w:rsid w:val="00E27E17"/>
    <w:rsid w:val="00E30076"/>
    <w:rsid w:val="00E30458"/>
    <w:rsid w:val="00E30726"/>
    <w:rsid w:val="00E30748"/>
    <w:rsid w:val="00E307F7"/>
    <w:rsid w:val="00E30A97"/>
    <w:rsid w:val="00E30F24"/>
    <w:rsid w:val="00E30F85"/>
    <w:rsid w:val="00E31082"/>
    <w:rsid w:val="00E312B8"/>
    <w:rsid w:val="00E31798"/>
    <w:rsid w:val="00E317AA"/>
    <w:rsid w:val="00E3188B"/>
    <w:rsid w:val="00E31990"/>
    <w:rsid w:val="00E31CEF"/>
    <w:rsid w:val="00E31EC9"/>
    <w:rsid w:val="00E32004"/>
    <w:rsid w:val="00E32375"/>
    <w:rsid w:val="00E324BD"/>
    <w:rsid w:val="00E325A6"/>
    <w:rsid w:val="00E32BF0"/>
    <w:rsid w:val="00E32CEF"/>
    <w:rsid w:val="00E32EE6"/>
    <w:rsid w:val="00E32F4D"/>
    <w:rsid w:val="00E333CB"/>
    <w:rsid w:val="00E33914"/>
    <w:rsid w:val="00E33AB3"/>
    <w:rsid w:val="00E33B26"/>
    <w:rsid w:val="00E33B3E"/>
    <w:rsid w:val="00E33CFC"/>
    <w:rsid w:val="00E33FF4"/>
    <w:rsid w:val="00E34081"/>
    <w:rsid w:val="00E34366"/>
    <w:rsid w:val="00E34AB8"/>
    <w:rsid w:val="00E34BCA"/>
    <w:rsid w:val="00E34EBF"/>
    <w:rsid w:val="00E35268"/>
    <w:rsid w:val="00E35299"/>
    <w:rsid w:val="00E35348"/>
    <w:rsid w:val="00E353C5"/>
    <w:rsid w:val="00E3559F"/>
    <w:rsid w:val="00E357EA"/>
    <w:rsid w:val="00E3598A"/>
    <w:rsid w:val="00E35A00"/>
    <w:rsid w:val="00E35C6F"/>
    <w:rsid w:val="00E3609C"/>
    <w:rsid w:val="00E36349"/>
    <w:rsid w:val="00E36711"/>
    <w:rsid w:val="00E369AD"/>
    <w:rsid w:val="00E36A5A"/>
    <w:rsid w:val="00E36ACF"/>
    <w:rsid w:val="00E36D73"/>
    <w:rsid w:val="00E37746"/>
    <w:rsid w:val="00E37797"/>
    <w:rsid w:val="00E3786E"/>
    <w:rsid w:val="00E37BEB"/>
    <w:rsid w:val="00E37F96"/>
    <w:rsid w:val="00E4012E"/>
    <w:rsid w:val="00E401A4"/>
    <w:rsid w:val="00E40357"/>
    <w:rsid w:val="00E4047B"/>
    <w:rsid w:val="00E40B0D"/>
    <w:rsid w:val="00E40E3B"/>
    <w:rsid w:val="00E40EC5"/>
    <w:rsid w:val="00E4102C"/>
    <w:rsid w:val="00E4116A"/>
    <w:rsid w:val="00E41484"/>
    <w:rsid w:val="00E41727"/>
    <w:rsid w:val="00E417BC"/>
    <w:rsid w:val="00E41A77"/>
    <w:rsid w:val="00E41BCD"/>
    <w:rsid w:val="00E41BEF"/>
    <w:rsid w:val="00E41EFE"/>
    <w:rsid w:val="00E42099"/>
    <w:rsid w:val="00E42145"/>
    <w:rsid w:val="00E42691"/>
    <w:rsid w:val="00E426AA"/>
    <w:rsid w:val="00E42C1F"/>
    <w:rsid w:val="00E42ECB"/>
    <w:rsid w:val="00E43257"/>
    <w:rsid w:val="00E43506"/>
    <w:rsid w:val="00E437C4"/>
    <w:rsid w:val="00E4392A"/>
    <w:rsid w:val="00E43EC6"/>
    <w:rsid w:val="00E43F58"/>
    <w:rsid w:val="00E43F8B"/>
    <w:rsid w:val="00E44459"/>
    <w:rsid w:val="00E44509"/>
    <w:rsid w:val="00E447D3"/>
    <w:rsid w:val="00E45450"/>
    <w:rsid w:val="00E45615"/>
    <w:rsid w:val="00E459E6"/>
    <w:rsid w:val="00E45A9C"/>
    <w:rsid w:val="00E45EAF"/>
    <w:rsid w:val="00E45F20"/>
    <w:rsid w:val="00E46176"/>
    <w:rsid w:val="00E46196"/>
    <w:rsid w:val="00E465FB"/>
    <w:rsid w:val="00E4684F"/>
    <w:rsid w:val="00E46AAE"/>
    <w:rsid w:val="00E46E99"/>
    <w:rsid w:val="00E4726A"/>
    <w:rsid w:val="00E4730A"/>
    <w:rsid w:val="00E47A56"/>
    <w:rsid w:val="00E47C64"/>
    <w:rsid w:val="00E50EB4"/>
    <w:rsid w:val="00E5118A"/>
    <w:rsid w:val="00E516F9"/>
    <w:rsid w:val="00E52156"/>
    <w:rsid w:val="00E522F6"/>
    <w:rsid w:val="00E52580"/>
    <w:rsid w:val="00E525D1"/>
    <w:rsid w:val="00E52824"/>
    <w:rsid w:val="00E52A0C"/>
    <w:rsid w:val="00E52D90"/>
    <w:rsid w:val="00E52FF7"/>
    <w:rsid w:val="00E532D9"/>
    <w:rsid w:val="00E5331D"/>
    <w:rsid w:val="00E53476"/>
    <w:rsid w:val="00E53817"/>
    <w:rsid w:val="00E5392E"/>
    <w:rsid w:val="00E53954"/>
    <w:rsid w:val="00E53B14"/>
    <w:rsid w:val="00E53D10"/>
    <w:rsid w:val="00E53D6A"/>
    <w:rsid w:val="00E53D77"/>
    <w:rsid w:val="00E541F1"/>
    <w:rsid w:val="00E54453"/>
    <w:rsid w:val="00E544D3"/>
    <w:rsid w:val="00E54547"/>
    <w:rsid w:val="00E549CB"/>
    <w:rsid w:val="00E54B04"/>
    <w:rsid w:val="00E54C6C"/>
    <w:rsid w:val="00E54DE1"/>
    <w:rsid w:val="00E55934"/>
    <w:rsid w:val="00E56113"/>
    <w:rsid w:val="00E561B5"/>
    <w:rsid w:val="00E5630B"/>
    <w:rsid w:val="00E56A67"/>
    <w:rsid w:val="00E56B47"/>
    <w:rsid w:val="00E56F44"/>
    <w:rsid w:val="00E56FF0"/>
    <w:rsid w:val="00E57315"/>
    <w:rsid w:val="00E57844"/>
    <w:rsid w:val="00E57D92"/>
    <w:rsid w:val="00E57E1A"/>
    <w:rsid w:val="00E57EA5"/>
    <w:rsid w:val="00E60A39"/>
    <w:rsid w:val="00E60BF5"/>
    <w:rsid w:val="00E60E28"/>
    <w:rsid w:val="00E61A59"/>
    <w:rsid w:val="00E61B2B"/>
    <w:rsid w:val="00E62009"/>
    <w:rsid w:val="00E62969"/>
    <w:rsid w:val="00E62AB7"/>
    <w:rsid w:val="00E62AC9"/>
    <w:rsid w:val="00E62E1E"/>
    <w:rsid w:val="00E62EF4"/>
    <w:rsid w:val="00E6339C"/>
    <w:rsid w:val="00E63735"/>
    <w:rsid w:val="00E63756"/>
    <w:rsid w:val="00E63D5F"/>
    <w:rsid w:val="00E6454E"/>
    <w:rsid w:val="00E646C3"/>
    <w:rsid w:val="00E6471E"/>
    <w:rsid w:val="00E64743"/>
    <w:rsid w:val="00E647B5"/>
    <w:rsid w:val="00E64AA4"/>
    <w:rsid w:val="00E64C89"/>
    <w:rsid w:val="00E6515E"/>
    <w:rsid w:val="00E651C4"/>
    <w:rsid w:val="00E65397"/>
    <w:rsid w:val="00E65423"/>
    <w:rsid w:val="00E65554"/>
    <w:rsid w:val="00E657F9"/>
    <w:rsid w:val="00E65B94"/>
    <w:rsid w:val="00E65E0C"/>
    <w:rsid w:val="00E6614C"/>
    <w:rsid w:val="00E66278"/>
    <w:rsid w:val="00E66468"/>
    <w:rsid w:val="00E665B8"/>
    <w:rsid w:val="00E665F3"/>
    <w:rsid w:val="00E6663B"/>
    <w:rsid w:val="00E667D0"/>
    <w:rsid w:val="00E667E2"/>
    <w:rsid w:val="00E66C0B"/>
    <w:rsid w:val="00E66C38"/>
    <w:rsid w:val="00E66D64"/>
    <w:rsid w:val="00E66EF0"/>
    <w:rsid w:val="00E66F05"/>
    <w:rsid w:val="00E67141"/>
    <w:rsid w:val="00E67715"/>
    <w:rsid w:val="00E67E12"/>
    <w:rsid w:val="00E70703"/>
    <w:rsid w:val="00E708B6"/>
    <w:rsid w:val="00E70982"/>
    <w:rsid w:val="00E70D16"/>
    <w:rsid w:val="00E70F47"/>
    <w:rsid w:val="00E71814"/>
    <w:rsid w:val="00E719FC"/>
    <w:rsid w:val="00E71E1E"/>
    <w:rsid w:val="00E71F95"/>
    <w:rsid w:val="00E7231C"/>
    <w:rsid w:val="00E72853"/>
    <w:rsid w:val="00E72C80"/>
    <w:rsid w:val="00E72DCA"/>
    <w:rsid w:val="00E72E4F"/>
    <w:rsid w:val="00E73018"/>
    <w:rsid w:val="00E731F8"/>
    <w:rsid w:val="00E73318"/>
    <w:rsid w:val="00E733F2"/>
    <w:rsid w:val="00E737B5"/>
    <w:rsid w:val="00E7397E"/>
    <w:rsid w:val="00E74581"/>
    <w:rsid w:val="00E74708"/>
    <w:rsid w:val="00E748CB"/>
    <w:rsid w:val="00E74947"/>
    <w:rsid w:val="00E74A76"/>
    <w:rsid w:val="00E74B73"/>
    <w:rsid w:val="00E74C1B"/>
    <w:rsid w:val="00E74DB6"/>
    <w:rsid w:val="00E74E87"/>
    <w:rsid w:val="00E74EA3"/>
    <w:rsid w:val="00E751A8"/>
    <w:rsid w:val="00E751B9"/>
    <w:rsid w:val="00E751C9"/>
    <w:rsid w:val="00E751D0"/>
    <w:rsid w:val="00E753DC"/>
    <w:rsid w:val="00E756FB"/>
    <w:rsid w:val="00E757B0"/>
    <w:rsid w:val="00E759FD"/>
    <w:rsid w:val="00E75B43"/>
    <w:rsid w:val="00E75F99"/>
    <w:rsid w:val="00E76120"/>
    <w:rsid w:val="00E765DF"/>
    <w:rsid w:val="00E766A1"/>
    <w:rsid w:val="00E76892"/>
    <w:rsid w:val="00E776F9"/>
    <w:rsid w:val="00E7786D"/>
    <w:rsid w:val="00E77B51"/>
    <w:rsid w:val="00E77DDD"/>
    <w:rsid w:val="00E80536"/>
    <w:rsid w:val="00E805C8"/>
    <w:rsid w:val="00E808C2"/>
    <w:rsid w:val="00E80B55"/>
    <w:rsid w:val="00E80B82"/>
    <w:rsid w:val="00E80CA8"/>
    <w:rsid w:val="00E81602"/>
    <w:rsid w:val="00E81C1C"/>
    <w:rsid w:val="00E81FF9"/>
    <w:rsid w:val="00E823F0"/>
    <w:rsid w:val="00E82406"/>
    <w:rsid w:val="00E828A9"/>
    <w:rsid w:val="00E82A6B"/>
    <w:rsid w:val="00E82B57"/>
    <w:rsid w:val="00E82CBB"/>
    <w:rsid w:val="00E83329"/>
    <w:rsid w:val="00E833B1"/>
    <w:rsid w:val="00E83438"/>
    <w:rsid w:val="00E83487"/>
    <w:rsid w:val="00E83B61"/>
    <w:rsid w:val="00E83C40"/>
    <w:rsid w:val="00E843C1"/>
    <w:rsid w:val="00E844C9"/>
    <w:rsid w:val="00E8450D"/>
    <w:rsid w:val="00E845DD"/>
    <w:rsid w:val="00E84947"/>
    <w:rsid w:val="00E85011"/>
    <w:rsid w:val="00E854AE"/>
    <w:rsid w:val="00E855A5"/>
    <w:rsid w:val="00E858A9"/>
    <w:rsid w:val="00E859E2"/>
    <w:rsid w:val="00E85D0E"/>
    <w:rsid w:val="00E8641C"/>
    <w:rsid w:val="00E86671"/>
    <w:rsid w:val="00E86749"/>
    <w:rsid w:val="00E87128"/>
    <w:rsid w:val="00E871AF"/>
    <w:rsid w:val="00E87566"/>
    <w:rsid w:val="00E87667"/>
    <w:rsid w:val="00E87AE2"/>
    <w:rsid w:val="00E87BD8"/>
    <w:rsid w:val="00E908A8"/>
    <w:rsid w:val="00E908F0"/>
    <w:rsid w:val="00E90C89"/>
    <w:rsid w:val="00E90DA3"/>
    <w:rsid w:val="00E91769"/>
    <w:rsid w:val="00E91A2D"/>
    <w:rsid w:val="00E91C1F"/>
    <w:rsid w:val="00E91D4F"/>
    <w:rsid w:val="00E91E4F"/>
    <w:rsid w:val="00E91F41"/>
    <w:rsid w:val="00E9205D"/>
    <w:rsid w:val="00E920EB"/>
    <w:rsid w:val="00E92250"/>
    <w:rsid w:val="00E92317"/>
    <w:rsid w:val="00E923B9"/>
    <w:rsid w:val="00E92541"/>
    <w:rsid w:val="00E92AC7"/>
    <w:rsid w:val="00E92B69"/>
    <w:rsid w:val="00E92D0A"/>
    <w:rsid w:val="00E93032"/>
    <w:rsid w:val="00E930F2"/>
    <w:rsid w:val="00E93452"/>
    <w:rsid w:val="00E9348C"/>
    <w:rsid w:val="00E937BF"/>
    <w:rsid w:val="00E93914"/>
    <w:rsid w:val="00E93D03"/>
    <w:rsid w:val="00E94050"/>
    <w:rsid w:val="00E94474"/>
    <w:rsid w:val="00E94653"/>
    <w:rsid w:val="00E947B6"/>
    <w:rsid w:val="00E947FD"/>
    <w:rsid w:val="00E94C4D"/>
    <w:rsid w:val="00E94D11"/>
    <w:rsid w:val="00E95077"/>
    <w:rsid w:val="00E95216"/>
    <w:rsid w:val="00E95283"/>
    <w:rsid w:val="00E95985"/>
    <w:rsid w:val="00E959E9"/>
    <w:rsid w:val="00E95D8F"/>
    <w:rsid w:val="00E961BB"/>
    <w:rsid w:val="00E9627A"/>
    <w:rsid w:val="00E969E2"/>
    <w:rsid w:val="00E96B83"/>
    <w:rsid w:val="00E96DC5"/>
    <w:rsid w:val="00E9719E"/>
    <w:rsid w:val="00E973CD"/>
    <w:rsid w:val="00E9744F"/>
    <w:rsid w:val="00E97808"/>
    <w:rsid w:val="00E97AAD"/>
    <w:rsid w:val="00E97C06"/>
    <w:rsid w:val="00E97FE3"/>
    <w:rsid w:val="00EA036C"/>
    <w:rsid w:val="00EA045D"/>
    <w:rsid w:val="00EA05E1"/>
    <w:rsid w:val="00EA08B5"/>
    <w:rsid w:val="00EA09F3"/>
    <w:rsid w:val="00EA0C7F"/>
    <w:rsid w:val="00EA12BE"/>
    <w:rsid w:val="00EA1B6D"/>
    <w:rsid w:val="00EA1C4B"/>
    <w:rsid w:val="00EA1D6E"/>
    <w:rsid w:val="00EA2A3E"/>
    <w:rsid w:val="00EA2D5E"/>
    <w:rsid w:val="00EA37DA"/>
    <w:rsid w:val="00EA384F"/>
    <w:rsid w:val="00EA3A43"/>
    <w:rsid w:val="00EA3A8E"/>
    <w:rsid w:val="00EA3B4E"/>
    <w:rsid w:val="00EA3D27"/>
    <w:rsid w:val="00EA40D6"/>
    <w:rsid w:val="00EA41E2"/>
    <w:rsid w:val="00EA49B0"/>
    <w:rsid w:val="00EA4F38"/>
    <w:rsid w:val="00EA54EA"/>
    <w:rsid w:val="00EA55DA"/>
    <w:rsid w:val="00EA5D5D"/>
    <w:rsid w:val="00EA6064"/>
    <w:rsid w:val="00EA628F"/>
    <w:rsid w:val="00EA66DD"/>
    <w:rsid w:val="00EA6AD4"/>
    <w:rsid w:val="00EA6D52"/>
    <w:rsid w:val="00EA7A88"/>
    <w:rsid w:val="00EA7B76"/>
    <w:rsid w:val="00EA7BBB"/>
    <w:rsid w:val="00EA7C9B"/>
    <w:rsid w:val="00EA7DF3"/>
    <w:rsid w:val="00EA7EAA"/>
    <w:rsid w:val="00EB0249"/>
    <w:rsid w:val="00EB04B2"/>
    <w:rsid w:val="00EB0590"/>
    <w:rsid w:val="00EB05AB"/>
    <w:rsid w:val="00EB095B"/>
    <w:rsid w:val="00EB105A"/>
    <w:rsid w:val="00EB1B50"/>
    <w:rsid w:val="00EB1C3F"/>
    <w:rsid w:val="00EB1C67"/>
    <w:rsid w:val="00EB1EF4"/>
    <w:rsid w:val="00EB21B3"/>
    <w:rsid w:val="00EB229D"/>
    <w:rsid w:val="00EB22B7"/>
    <w:rsid w:val="00EB27E1"/>
    <w:rsid w:val="00EB286E"/>
    <w:rsid w:val="00EB2E3F"/>
    <w:rsid w:val="00EB3016"/>
    <w:rsid w:val="00EB32A2"/>
    <w:rsid w:val="00EB32E6"/>
    <w:rsid w:val="00EB3510"/>
    <w:rsid w:val="00EB35CA"/>
    <w:rsid w:val="00EB3671"/>
    <w:rsid w:val="00EB3FC3"/>
    <w:rsid w:val="00EB40CA"/>
    <w:rsid w:val="00EB4287"/>
    <w:rsid w:val="00EB4B40"/>
    <w:rsid w:val="00EB4BD6"/>
    <w:rsid w:val="00EB4C79"/>
    <w:rsid w:val="00EB4F1E"/>
    <w:rsid w:val="00EB516C"/>
    <w:rsid w:val="00EB5516"/>
    <w:rsid w:val="00EB5539"/>
    <w:rsid w:val="00EB5937"/>
    <w:rsid w:val="00EB5B3E"/>
    <w:rsid w:val="00EB5C73"/>
    <w:rsid w:val="00EB5E2E"/>
    <w:rsid w:val="00EB5FC7"/>
    <w:rsid w:val="00EB6015"/>
    <w:rsid w:val="00EB6154"/>
    <w:rsid w:val="00EB6306"/>
    <w:rsid w:val="00EB6322"/>
    <w:rsid w:val="00EB640A"/>
    <w:rsid w:val="00EB6A19"/>
    <w:rsid w:val="00EB70FF"/>
    <w:rsid w:val="00EB7349"/>
    <w:rsid w:val="00EB75FD"/>
    <w:rsid w:val="00EB77E5"/>
    <w:rsid w:val="00EB7A7A"/>
    <w:rsid w:val="00EB7B0E"/>
    <w:rsid w:val="00EB7C85"/>
    <w:rsid w:val="00EB7E04"/>
    <w:rsid w:val="00EB7EF6"/>
    <w:rsid w:val="00EB7F50"/>
    <w:rsid w:val="00EC0097"/>
    <w:rsid w:val="00EC03EA"/>
    <w:rsid w:val="00EC043A"/>
    <w:rsid w:val="00EC06E4"/>
    <w:rsid w:val="00EC0B55"/>
    <w:rsid w:val="00EC0D24"/>
    <w:rsid w:val="00EC1021"/>
    <w:rsid w:val="00EC1624"/>
    <w:rsid w:val="00EC1FDF"/>
    <w:rsid w:val="00EC22EC"/>
    <w:rsid w:val="00EC240A"/>
    <w:rsid w:val="00EC2729"/>
    <w:rsid w:val="00EC2841"/>
    <w:rsid w:val="00EC2861"/>
    <w:rsid w:val="00EC2996"/>
    <w:rsid w:val="00EC2A5D"/>
    <w:rsid w:val="00EC2F4B"/>
    <w:rsid w:val="00EC385E"/>
    <w:rsid w:val="00EC41A1"/>
    <w:rsid w:val="00EC434D"/>
    <w:rsid w:val="00EC491C"/>
    <w:rsid w:val="00EC49DC"/>
    <w:rsid w:val="00EC4B6F"/>
    <w:rsid w:val="00EC5198"/>
    <w:rsid w:val="00EC52EA"/>
    <w:rsid w:val="00EC5907"/>
    <w:rsid w:val="00EC5C19"/>
    <w:rsid w:val="00EC5DD0"/>
    <w:rsid w:val="00EC5F17"/>
    <w:rsid w:val="00EC61B8"/>
    <w:rsid w:val="00EC6221"/>
    <w:rsid w:val="00EC64D3"/>
    <w:rsid w:val="00EC65DE"/>
    <w:rsid w:val="00EC6783"/>
    <w:rsid w:val="00EC6809"/>
    <w:rsid w:val="00EC6918"/>
    <w:rsid w:val="00EC6B82"/>
    <w:rsid w:val="00EC6C06"/>
    <w:rsid w:val="00EC6F75"/>
    <w:rsid w:val="00EC7472"/>
    <w:rsid w:val="00EC774F"/>
    <w:rsid w:val="00EC7E21"/>
    <w:rsid w:val="00EC7EA3"/>
    <w:rsid w:val="00ED0031"/>
    <w:rsid w:val="00ED03E8"/>
    <w:rsid w:val="00ED05ED"/>
    <w:rsid w:val="00ED1007"/>
    <w:rsid w:val="00ED106A"/>
    <w:rsid w:val="00ED113A"/>
    <w:rsid w:val="00ED1532"/>
    <w:rsid w:val="00ED1837"/>
    <w:rsid w:val="00ED1A29"/>
    <w:rsid w:val="00ED1B2E"/>
    <w:rsid w:val="00ED1E14"/>
    <w:rsid w:val="00ED1E2B"/>
    <w:rsid w:val="00ED1EDC"/>
    <w:rsid w:val="00ED1F31"/>
    <w:rsid w:val="00ED1F9E"/>
    <w:rsid w:val="00ED201E"/>
    <w:rsid w:val="00ED2073"/>
    <w:rsid w:val="00ED2542"/>
    <w:rsid w:val="00ED26C0"/>
    <w:rsid w:val="00ED287A"/>
    <w:rsid w:val="00ED29C8"/>
    <w:rsid w:val="00ED2B7D"/>
    <w:rsid w:val="00ED2C50"/>
    <w:rsid w:val="00ED2CA1"/>
    <w:rsid w:val="00ED3031"/>
    <w:rsid w:val="00ED3721"/>
    <w:rsid w:val="00ED380A"/>
    <w:rsid w:val="00ED3AC5"/>
    <w:rsid w:val="00ED3BB3"/>
    <w:rsid w:val="00ED3C13"/>
    <w:rsid w:val="00ED3E79"/>
    <w:rsid w:val="00ED3FE7"/>
    <w:rsid w:val="00ED47A9"/>
    <w:rsid w:val="00ED4BC0"/>
    <w:rsid w:val="00ED4C5E"/>
    <w:rsid w:val="00ED5352"/>
    <w:rsid w:val="00ED56CD"/>
    <w:rsid w:val="00ED5734"/>
    <w:rsid w:val="00ED5A09"/>
    <w:rsid w:val="00ED5E7A"/>
    <w:rsid w:val="00ED5FDD"/>
    <w:rsid w:val="00ED624A"/>
    <w:rsid w:val="00ED674D"/>
    <w:rsid w:val="00ED67D8"/>
    <w:rsid w:val="00ED6B9F"/>
    <w:rsid w:val="00ED6C9D"/>
    <w:rsid w:val="00ED7689"/>
    <w:rsid w:val="00ED76DC"/>
    <w:rsid w:val="00ED77D9"/>
    <w:rsid w:val="00ED7D79"/>
    <w:rsid w:val="00EE0267"/>
    <w:rsid w:val="00EE04C1"/>
    <w:rsid w:val="00EE093B"/>
    <w:rsid w:val="00EE0A63"/>
    <w:rsid w:val="00EE0E4C"/>
    <w:rsid w:val="00EE10E4"/>
    <w:rsid w:val="00EE1109"/>
    <w:rsid w:val="00EE1175"/>
    <w:rsid w:val="00EE1211"/>
    <w:rsid w:val="00EE1227"/>
    <w:rsid w:val="00EE148D"/>
    <w:rsid w:val="00EE1532"/>
    <w:rsid w:val="00EE1823"/>
    <w:rsid w:val="00EE18AA"/>
    <w:rsid w:val="00EE2581"/>
    <w:rsid w:val="00EE25DB"/>
    <w:rsid w:val="00EE2720"/>
    <w:rsid w:val="00EE2768"/>
    <w:rsid w:val="00EE282D"/>
    <w:rsid w:val="00EE288A"/>
    <w:rsid w:val="00EE2B0E"/>
    <w:rsid w:val="00EE2BB9"/>
    <w:rsid w:val="00EE2BF4"/>
    <w:rsid w:val="00EE31AB"/>
    <w:rsid w:val="00EE33A8"/>
    <w:rsid w:val="00EE3E6F"/>
    <w:rsid w:val="00EE3E91"/>
    <w:rsid w:val="00EE40BD"/>
    <w:rsid w:val="00EE430A"/>
    <w:rsid w:val="00EE4401"/>
    <w:rsid w:val="00EE4734"/>
    <w:rsid w:val="00EE47B8"/>
    <w:rsid w:val="00EE483A"/>
    <w:rsid w:val="00EE498E"/>
    <w:rsid w:val="00EE4DBD"/>
    <w:rsid w:val="00EE4DCF"/>
    <w:rsid w:val="00EE4FE8"/>
    <w:rsid w:val="00EE53E2"/>
    <w:rsid w:val="00EE54D8"/>
    <w:rsid w:val="00EE55F9"/>
    <w:rsid w:val="00EE5903"/>
    <w:rsid w:val="00EE5A2B"/>
    <w:rsid w:val="00EE5B3C"/>
    <w:rsid w:val="00EE64EC"/>
    <w:rsid w:val="00EE6901"/>
    <w:rsid w:val="00EE6A13"/>
    <w:rsid w:val="00EE6A99"/>
    <w:rsid w:val="00EE6AA7"/>
    <w:rsid w:val="00EE6D03"/>
    <w:rsid w:val="00EE6DE0"/>
    <w:rsid w:val="00EE6FDA"/>
    <w:rsid w:val="00EE70A2"/>
    <w:rsid w:val="00EE7162"/>
    <w:rsid w:val="00EF01FA"/>
    <w:rsid w:val="00EF0668"/>
    <w:rsid w:val="00EF0C48"/>
    <w:rsid w:val="00EF0E0A"/>
    <w:rsid w:val="00EF0E4A"/>
    <w:rsid w:val="00EF15C1"/>
    <w:rsid w:val="00EF20A8"/>
    <w:rsid w:val="00EF212A"/>
    <w:rsid w:val="00EF2464"/>
    <w:rsid w:val="00EF2595"/>
    <w:rsid w:val="00EF272F"/>
    <w:rsid w:val="00EF2B20"/>
    <w:rsid w:val="00EF2F02"/>
    <w:rsid w:val="00EF3750"/>
    <w:rsid w:val="00EF38E5"/>
    <w:rsid w:val="00EF3AE0"/>
    <w:rsid w:val="00EF3B2D"/>
    <w:rsid w:val="00EF3E64"/>
    <w:rsid w:val="00EF437A"/>
    <w:rsid w:val="00EF4426"/>
    <w:rsid w:val="00EF45F1"/>
    <w:rsid w:val="00EF47FC"/>
    <w:rsid w:val="00EF481C"/>
    <w:rsid w:val="00EF5216"/>
    <w:rsid w:val="00EF5344"/>
    <w:rsid w:val="00EF54BD"/>
    <w:rsid w:val="00EF54C9"/>
    <w:rsid w:val="00EF56AA"/>
    <w:rsid w:val="00EF60F7"/>
    <w:rsid w:val="00EF61DC"/>
    <w:rsid w:val="00EF6373"/>
    <w:rsid w:val="00EF658F"/>
    <w:rsid w:val="00EF6A8E"/>
    <w:rsid w:val="00EF6C40"/>
    <w:rsid w:val="00EF6E9E"/>
    <w:rsid w:val="00EF73E9"/>
    <w:rsid w:val="00EF7435"/>
    <w:rsid w:val="00EF78A3"/>
    <w:rsid w:val="00EF7963"/>
    <w:rsid w:val="00EF7A2B"/>
    <w:rsid w:val="00EF7C88"/>
    <w:rsid w:val="00EF7C9C"/>
    <w:rsid w:val="00F00015"/>
    <w:rsid w:val="00F00176"/>
    <w:rsid w:val="00F003A6"/>
    <w:rsid w:val="00F006D5"/>
    <w:rsid w:val="00F006E3"/>
    <w:rsid w:val="00F00B52"/>
    <w:rsid w:val="00F00BFC"/>
    <w:rsid w:val="00F01445"/>
    <w:rsid w:val="00F02223"/>
    <w:rsid w:val="00F02225"/>
    <w:rsid w:val="00F02377"/>
    <w:rsid w:val="00F029D5"/>
    <w:rsid w:val="00F02B14"/>
    <w:rsid w:val="00F0340B"/>
    <w:rsid w:val="00F035C0"/>
    <w:rsid w:val="00F03670"/>
    <w:rsid w:val="00F03774"/>
    <w:rsid w:val="00F0378C"/>
    <w:rsid w:val="00F037CB"/>
    <w:rsid w:val="00F039CF"/>
    <w:rsid w:val="00F03B2C"/>
    <w:rsid w:val="00F03B37"/>
    <w:rsid w:val="00F03C48"/>
    <w:rsid w:val="00F03D2D"/>
    <w:rsid w:val="00F03D7E"/>
    <w:rsid w:val="00F040A0"/>
    <w:rsid w:val="00F04170"/>
    <w:rsid w:val="00F04379"/>
    <w:rsid w:val="00F049B0"/>
    <w:rsid w:val="00F05C02"/>
    <w:rsid w:val="00F05D2B"/>
    <w:rsid w:val="00F05D8C"/>
    <w:rsid w:val="00F060B0"/>
    <w:rsid w:val="00F06149"/>
    <w:rsid w:val="00F06275"/>
    <w:rsid w:val="00F06909"/>
    <w:rsid w:val="00F06951"/>
    <w:rsid w:val="00F06B76"/>
    <w:rsid w:val="00F06B98"/>
    <w:rsid w:val="00F06C30"/>
    <w:rsid w:val="00F06D6F"/>
    <w:rsid w:val="00F06EB5"/>
    <w:rsid w:val="00F06F0C"/>
    <w:rsid w:val="00F070C5"/>
    <w:rsid w:val="00F071EB"/>
    <w:rsid w:val="00F07224"/>
    <w:rsid w:val="00F073F7"/>
    <w:rsid w:val="00F07702"/>
    <w:rsid w:val="00F079A9"/>
    <w:rsid w:val="00F07ACF"/>
    <w:rsid w:val="00F07B2F"/>
    <w:rsid w:val="00F07E9A"/>
    <w:rsid w:val="00F1003D"/>
    <w:rsid w:val="00F104D5"/>
    <w:rsid w:val="00F109CE"/>
    <w:rsid w:val="00F1110B"/>
    <w:rsid w:val="00F11789"/>
    <w:rsid w:val="00F11812"/>
    <w:rsid w:val="00F11B01"/>
    <w:rsid w:val="00F11C5F"/>
    <w:rsid w:val="00F12459"/>
    <w:rsid w:val="00F1260C"/>
    <w:rsid w:val="00F126DD"/>
    <w:rsid w:val="00F1272D"/>
    <w:rsid w:val="00F1274F"/>
    <w:rsid w:val="00F129D9"/>
    <w:rsid w:val="00F129E7"/>
    <w:rsid w:val="00F12A6E"/>
    <w:rsid w:val="00F12B10"/>
    <w:rsid w:val="00F12B8B"/>
    <w:rsid w:val="00F12B9B"/>
    <w:rsid w:val="00F12FD8"/>
    <w:rsid w:val="00F12FEA"/>
    <w:rsid w:val="00F1329B"/>
    <w:rsid w:val="00F134C5"/>
    <w:rsid w:val="00F138B0"/>
    <w:rsid w:val="00F13B4A"/>
    <w:rsid w:val="00F13BC8"/>
    <w:rsid w:val="00F13BDC"/>
    <w:rsid w:val="00F13C53"/>
    <w:rsid w:val="00F14144"/>
    <w:rsid w:val="00F145E1"/>
    <w:rsid w:val="00F14919"/>
    <w:rsid w:val="00F14D9A"/>
    <w:rsid w:val="00F1538B"/>
    <w:rsid w:val="00F1539C"/>
    <w:rsid w:val="00F15841"/>
    <w:rsid w:val="00F16341"/>
    <w:rsid w:val="00F167CE"/>
    <w:rsid w:val="00F16C34"/>
    <w:rsid w:val="00F16D50"/>
    <w:rsid w:val="00F17111"/>
    <w:rsid w:val="00F17185"/>
    <w:rsid w:val="00F1725C"/>
    <w:rsid w:val="00F175BE"/>
    <w:rsid w:val="00F17611"/>
    <w:rsid w:val="00F17676"/>
    <w:rsid w:val="00F177EF"/>
    <w:rsid w:val="00F17A8C"/>
    <w:rsid w:val="00F17B26"/>
    <w:rsid w:val="00F17B2A"/>
    <w:rsid w:val="00F17E43"/>
    <w:rsid w:val="00F17F5A"/>
    <w:rsid w:val="00F200D5"/>
    <w:rsid w:val="00F20473"/>
    <w:rsid w:val="00F205CB"/>
    <w:rsid w:val="00F20748"/>
    <w:rsid w:val="00F20848"/>
    <w:rsid w:val="00F208AF"/>
    <w:rsid w:val="00F20EE8"/>
    <w:rsid w:val="00F21081"/>
    <w:rsid w:val="00F210D1"/>
    <w:rsid w:val="00F2134F"/>
    <w:rsid w:val="00F216E5"/>
    <w:rsid w:val="00F21747"/>
    <w:rsid w:val="00F21E65"/>
    <w:rsid w:val="00F22026"/>
    <w:rsid w:val="00F22481"/>
    <w:rsid w:val="00F22699"/>
    <w:rsid w:val="00F227EC"/>
    <w:rsid w:val="00F2285F"/>
    <w:rsid w:val="00F228F1"/>
    <w:rsid w:val="00F22C5C"/>
    <w:rsid w:val="00F23229"/>
    <w:rsid w:val="00F2322B"/>
    <w:rsid w:val="00F23436"/>
    <w:rsid w:val="00F234AB"/>
    <w:rsid w:val="00F234B1"/>
    <w:rsid w:val="00F23526"/>
    <w:rsid w:val="00F23575"/>
    <w:rsid w:val="00F237A2"/>
    <w:rsid w:val="00F23D5E"/>
    <w:rsid w:val="00F23E63"/>
    <w:rsid w:val="00F23F3B"/>
    <w:rsid w:val="00F2422E"/>
    <w:rsid w:val="00F24834"/>
    <w:rsid w:val="00F249E4"/>
    <w:rsid w:val="00F24C16"/>
    <w:rsid w:val="00F24EDE"/>
    <w:rsid w:val="00F24EEA"/>
    <w:rsid w:val="00F2504B"/>
    <w:rsid w:val="00F2545F"/>
    <w:rsid w:val="00F2561D"/>
    <w:rsid w:val="00F25853"/>
    <w:rsid w:val="00F25B89"/>
    <w:rsid w:val="00F25C8B"/>
    <w:rsid w:val="00F25E22"/>
    <w:rsid w:val="00F264A6"/>
    <w:rsid w:val="00F26527"/>
    <w:rsid w:val="00F26723"/>
    <w:rsid w:val="00F26A4C"/>
    <w:rsid w:val="00F26BF9"/>
    <w:rsid w:val="00F2763F"/>
    <w:rsid w:val="00F2781D"/>
    <w:rsid w:val="00F27AD2"/>
    <w:rsid w:val="00F27B2E"/>
    <w:rsid w:val="00F27D98"/>
    <w:rsid w:val="00F27E07"/>
    <w:rsid w:val="00F30099"/>
    <w:rsid w:val="00F302D5"/>
    <w:rsid w:val="00F306DD"/>
    <w:rsid w:val="00F30A94"/>
    <w:rsid w:val="00F30C9A"/>
    <w:rsid w:val="00F30F84"/>
    <w:rsid w:val="00F313B8"/>
    <w:rsid w:val="00F315BA"/>
    <w:rsid w:val="00F317F1"/>
    <w:rsid w:val="00F31E0B"/>
    <w:rsid w:val="00F31F2F"/>
    <w:rsid w:val="00F322B5"/>
    <w:rsid w:val="00F32922"/>
    <w:rsid w:val="00F33136"/>
    <w:rsid w:val="00F33B40"/>
    <w:rsid w:val="00F33ECC"/>
    <w:rsid w:val="00F33F3F"/>
    <w:rsid w:val="00F33F7C"/>
    <w:rsid w:val="00F34198"/>
    <w:rsid w:val="00F3436A"/>
    <w:rsid w:val="00F3457B"/>
    <w:rsid w:val="00F34A8F"/>
    <w:rsid w:val="00F34B83"/>
    <w:rsid w:val="00F34BD6"/>
    <w:rsid w:val="00F3539C"/>
    <w:rsid w:val="00F36921"/>
    <w:rsid w:val="00F37502"/>
    <w:rsid w:val="00F3776C"/>
    <w:rsid w:val="00F37ABE"/>
    <w:rsid w:val="00F37B3A"/>
    <w:rsid w:val="00F37CBD"/>
    <w:rsid w:val="00F37DBD"/>
    <w:rsid w:val="00F37F4B"/>
    <w:rsid w:val="00F404A9"/>
    <w:rsid w:val="00F4055F"/>
    <w:rsid w:val="00F40633"/>
    <w:rsid w:val="00F409B6"/>
    <w:rsid w:val="00F40B8D"/>
    <w:rsid w:val="00F4142B"/>
    <w:rsid w:val="00F416CC"/>
    <w:rsid w:val="00F41743"/>
    <w:rsid w:val="00F4190C"/>
    <w:rsid w:val="00F420CC"/>
    <w:rsid w:val="00F4254A"/>
    <w:rsid w:val="00F42DE3"/>
    <w:rsid w:val="00F43087"/>
    <w:rsid w:val="00F432CE"/>
    <w:rsid w:val="00F432E1"/>
    <w:rsid w:val="00F436F8"/>
    <w:rsid w:val="00F43936"/>
    <w:rsid w:val="00F43F68"/>
    <w:rsid w:val="00F442FE"/>
    <w:rsid w:val="00F443C1"/>
    <w:rsid w:val="00F445FE"/>
    <w:rsid w:val="00F4472B"/>
    <w:rsid w:val="00F448E7"/>
    <w:rsid w:val="00F44FA2"/>
    <w:rsid w:val="00F450ED"/>
    <w:rsid w:val="00F456F6"/>
    <w:rsid w:val="00F459B8"/>
    <w:rsid w:val="00F45B77"/>
    <w:rsid w:val="00F45E83"/>
    <w:rsid w:val="00F45F2E"/>
    <w:rsid w:val="00F4637D"/>
    <w:rsid w:val="00F46980"/>
    <w:rsid w:val="00F469A4"/>
    <w:rsid w:val="00F46CED"/>
    <w:rsid w:val="00F46EDC"/>
    <w:rsid w:val="00F47099"/>
    <w:rsid w:val="00F473D0"/>
    <w:rsid w:val="00F4764B"/>
    <w:rsid w:val="00F479C3"/>
    <w:rsid w:val="00F47D80"/>
    <w:rsid w:val="00F47DD0"/>
    <w:rsid w:val="00F47E8F"/>
    <w:rsid w:val="00F47ED6"/>
    <w:rsid w:val="00F5018C"/>
    <w:rsid w:val="00F50273"/>
    <w:rsid w:val="00F504FF"/>
    <w:rsid w:val="00F505A9"/>
    <w:rsid w:val="00F50B8C"/>
    <w:rsid w:val="00F50BA0"/>
    <w:rsid w:val="00F50CFB"/>
    <w:rsid w:val="00F50FC1"/>
    <w:rsid w:val="00F521DF"/>
    <w:rsid w:val="00F525A9"/>
    <w:rsid w:val="00F52A13"/>
    <w:rsid w:val="00F52DFA"/>
    <w:rsid w:val="00F52F4B"/>
    <w:rsid w:val="00F5321F"/>
    <w:rsid w:val="00F5325D"/>
    <w:rsid w:val="00F532AF"/>
    <w:rsid w:val="00F532D2"/>
    <w:rsid w:val="00F53381"/>
    <w:rsid w:val="00F533F1"/>
    <w:rsid w:val="00F53403"/>
    <w:rsid w:val="00F53520"/>
    <w:rsid w:val="00F537B2"/>
    <w:rsid w:val="00F53955"/>
    <w:rsid w:val="00F53BB7"/>
    <w:rsid w:val="00F53EDC"/>
    <w:rsid w:val="00F54072"/>
    <w:rsid w:val="00F540C0"/>
    <w:rsid w:val="00F541CA"/>
    <w:rsid w:val="00F541E0"/>
    <w:rsid w:val="00F54718"/>
    <w:rsid w:val="00F55295"/>
    <w:rsid w:val="00F552A3"/>
    <w:rsid w:val="00F55322"/>
    <w:rsid w:val="00F557F4"/>
    <w:rsid w:val="00F55F09"/>
    <w:rsid w:val="00F55F3F"/>
    <w:rsid w:val="00F56075"/>
    <w:rsid w:val="00F56149"/>
    <w:rsid w:val="00F564A7"/>
    <w:rsid w:val="00F564F1"/>
    <w:rsid w:val="00F567B1"/>
    <w:rsid w:val="00F56AFB"/>
    <w:rsid w:val="00F56FA4"/>
    <w:rsid w:val="00F5717E"/>
    <w:rsid w:val="00F57278"/>
    <w:rsid w:val="00F57600"/>
    <w:rsid w:val="00F57618"/>
    <w:rsid w:val="00F579B9"/>
    <w:rsid w:val="00F57DC7"/>
    <w:rsid w:val="00F60075"/>
    <w:rsid w:val="00F60419"/>
    <w:rsid w:val="00F60765"/>
    <w:rsid w:val="00F60937"/>
    <w:rsid w:val="00F60ABC"/>
    <w:rsid w:val="00F60C99"/>
    <w:rsid w:val="00F610E4"/>
    <w:rsid w:val="00F61267"/>
    <w:rsid w:val="00F61394"/>
    <w:rsid w:val="00F613D0"/>
    <w:rsid w:val="00F6165C"/>
    <w:rsid w:val="00F61B8C"/>
    <w:rsid w:val="00F61BA2"/>
    <w:rsid w:val="00F61BE4"/>
    <w:rsid w:val="00F61C5F"/>
    <w:rsid w:val="00F61CCF"/>
    <w:rsid w:val="00F620C7"/>
    <w:rsid w:val="00F6285D"/>
    <w:rsid w:val="00F62898"/>
    <w:rsid w:val="00F62ACB"/>
    <w:rsid w:val="00F62BED"/>
    <w:rsid w:val="00F62F4E"/>
    <w:rsid w:val="00F62F54"/>
    <w:rsid w:val="00F633CB"/>
    <w:rsid w:val="00F639B9"/>
    <w:rsid w:val="00F63C79"/>
    <w:rsid w:val="00F640A3"/>
    <w:rsid w:val="00F6435C"/>
    <w:rsid w:val="00F64699"/>
    <w:rsid w:val="00F649AB"/>
    <w:rsid w:val="00F64C29"/>
    <w:rsid w:val="00F64D1A"/>
    <w:rsid w:val="00F64D34"/>
    <w:rsid w:val="00F653D0"/>
    <w:rsid w:val="00F654D1"/>
    <w:rsid w:val="00F65774"/>
    <w:rsid w:val="00F65A49"/>
    <w:rsid w:val="00F65BD8"/>
    <w:rsid w:val="00F660D0"/>
    <w:rsid w:val="00F6615E"/>
    <w:rsid w:val="00F66271"/>
    <w:rsid w:val="00F665EE"/>
    <w:rsid w:val="00F666F5"/>
    <w:rsid w:val="00F668F6"/>
    <w:rsid w:val="00F66904"/>
    <w:rsid w:val="00F66979"/>
    <w:rsid w:val="00F66BC7"/>
    <w:rsid w:val="00F670B4"/>
    <w:rsid w:val="00F670C3"/>
    <w:rsid w:val="00F671D1"/>
    <w:rsid w:val="00F67703"/>
    <w:rsid w:val="00F6785F"/>
    <w:rsid w:val="00F678D4"/>
    <w:rsid w:val="00F6796B"/>
    <w:rsid w:val="00F701C6"/>
    <w:rsid w:val="00F70399"/>
    <w:rsid w:val="00F7055A"/>
    <w:rsid w:val="00F70DAA"/>
    <w:rsid w:val="00F70EFB"/>
    <w:rsid w:val="00F7124B"/>
    <w:rsid w:val="00F7127C"/>
    <w:rsid w:val="00F71387"/>
    <w:rsid w:val="00F71B8A"/>
    <w:rsid w:val="00F7225C"/>
    <w:rsid w:val="00F72403"/>
    <w:rsid w:val="00F72781"/>
    <w:rsid w:val="00F72DD6"/>
    <w:rsid w:val="00F72EC7"/>
    <w:rsid w:val="00F72F1A"/>
    <w:rsid w:val="00F72FC7"/>
    <w:rsid w:val="00F73102"/>
    <w:rsid w:val="00F73110"/>
    <w:rsid w:val="00F7329B"/>
    <w:rsid w:val="00F73489"/>
    <w:rsid w:val="00F73BA1"/>
    <w:rsid w:val="00F73C52"/>
    <w:rsid w:val="00F73E29"/>
    <w:rsid w:val="00F74001"/>
    <w:rsid w:val="00F74354"/>
    <w:rsid w:val="00F74B68"/>
    <w:rsid w:val="00F74BB2"/>
    <w:rsid w:val="00F75329"/>
    <w:rsid w:val="00F75384"/>
    <w:rsid w:val="00F754ED"/>
    <w:rsid w:val="00F75681"/>
    <w:rsid w:val="00F75820"/>
    <w:rsid w:val="00F75E85"/>
    <w:rsid w:val="00F75EBA"/>
    <w:rsid w:val="00F75F41"/>
    <w:rsid w:val="00F7608E"/>
    <w:rsid w:val="00F760DB"/>
    <w:rsid w:val="00F76806"/>
    <w:rsid w:val="00F76AEA"/>
    <w:rsid w:val="00F76F5F"/>
    <w:rsid w:val="00F7700F"/>
    <w:rsid w:val="00F77664"/>
    <w:rsid w:val="00F77D77"/>
    <w:rsid w:val="00F800AA"/>
    <w:rsid w:val="00F80121"/>
    <w:rsid w:val="00F80162"/>
    <w:rsid w:val="00F80239"/>
    <w:rsid w:val="00F80603"/>
    <w:rsid w:val="00F81474"/>
    <w:rsid w:val="00F815FF"/>
    <w:rsid w:val="00F819CB"/>
    <w:rsid w:val="00F81B7B"/>
    <w:rsid w:val="00F81BB2"/>
    <w:rsid w:val="00F81C06"/>
    <w:rsid w:val="00F81C95"/>
    <w:rsid w:val="00F82620"/>
    <w:rsid w:val="00F82AED"/>
    <w:rsid w:val="00F82BB5"/>
    <w:rsid w:val="00F82BD3"/>
    <w:rsid w:val="00F82ED5"/>
    <w:rsid w:val="00F83092"/>
    <w:rsid w:val="00F83356"/>
    <w:rsid w:val="00F8355C"/>
    <w:rsid w:val="00F838A3"/>
    <w:rsid w:val="00F839B7"/>
    <w:rsid w:val="00F83A8C"/>
    <w:rsid w:val="00F83B4B"/>
    <w:rsid w:val="00F83B52"/>
    <w:rsid w:val="00F8403D"/>
    <w:rsid w:val="00F8404B"/>
    <w:rsid w:val="00F84317"/>
    <w:rsid w:val="00F84556"/>
    <w:rsid w:val="00F8465A"/>
    <w:rsid w:val="00F84AB3"/>
    <w:rsid w:val="00F84ABE"/>
    <w:rsid w:val="00F84AFF"/>
    <w:rsid w:val="00F84B1A"/>
    <w:rsid w:val="00F84D0F"/>
    <w:rsid w:val="00F84E9F"/>
    <w:rsid w:val="00F84ED1"/>
    <w:rsid w:val="00F84F58"/>
    <w:rsid w:val="00F850CF"/>
    <w:rsid w:val="00F850E5"/>
    <w:rsid w:val="00F852B5"/>
    <w:rsid w:val="00F852DC"/>
    <w:rsid w:val="00F8533D"/>
    <w:rsid w:val="00F8548A"/>
    <w:rsid w:val="00F85756"/>
    <w:rsid w:val="00F8626A"/>
    <w:rsid w:val="00F86310"/>
    <w:rsid w:val="00F868B2"/>
    <w:rsid w:val="00F869A6"/>
    <w:rsid w:val="00F86F96"/>
    <w:rsid w:val="00F8732B"/>
    <w:rsid w:val="00F87428"/>
    <w:rsid w:val="00F8764E"/>
    <w:rsid w:val="00F87B21"/>
    <w:rsid w:val="00F87D92"/>
    <w:rsid w:val="00F87EB7"/>
    <w:rsid w:val="00F90B29"/>
    <w:rsid w:val="00F90BD8"/>
    <w:rsid w:val="00F9181C"/>
    <w:rsid w:val="00F9184A"/>
    <w:rsid w:val="00F91C37"/>
    <w:rsid w:val="00F92374"/>
    <w:rsid w:val="00F924A1"/>
    <w:rsid w:val="00F926C1"/>
    <w:rsid w:val="00F935F6"/>
    <w:rsid w:val="00F938F4"/>
    <w:rsid w:val="00F93980"/>
    <w:rsid w:val="00F9398B"/>
    <w:rsid w:val="00F9460C"/>
    <w:rsid w:val="00F947C7"/>
    <w:rsid w:val="00F94B01"/>
    <w:rsid w:val="00F94B3A"/>
    <w:rsid w:val="00F95070"/>
    <w:rsid w:val="00F9591E"/>
    <w:rsid w:val="00F95A89"/>
    <w:rsid w:val="00F95DB4"/>
    <w:rsid w:val="00F95F24"/>
    <w:rsid w:val="00F960C2"/>
    <w:rsid w:val="00F96197"/>
    <w:rsid w:val="00F96200"/>
    <w:rsid w:val="00F964BA"/>
    <w:rsid w:val="00F9681D"/>
    <w:rsid w:val="00F96BCE"/>
    <w:rsid w:val="00F96F03"/>
    <w:rsid w:val="00F96FDE"/>
    <w:rsid w:val="00F97119"/>
    <w:rsid w:val="00F9731A"/>
    <w:rsid w:val="00F97AC4"/>
    <w:rsid w:val="00F97BDC"/>
    <w:rsid w:val="00F97D98"/>
    <w:rsid w:val="00F97E71"/>
    <w:rsid w:val="00FA02F6"/>
    <w:rsid w:val="00FA062A"/>
    <w:rsid w:val="00FA0B44"/>
    <w:rsid w:val="00FA0E94"/>
    <w:rsid w:val="00FA0EEC"/>
    <w:rsid w:val="00FA155F"/>
    <w:rsid w:val="00FA1751"/>
    <w:rsid w:val="00FA20A1"/>
    <w:rsid w:val="00FA2183"/>
    <w:rsid w:val="00FA225A"/>
    <w:rsid w:val="00FA23F8"/>
    <w:rsid w:val="00FA2560"/>
    <w:rsid w:val="00FA2EB7"/>
    <w:rsid w:val="00FA2EF6"/>
    <w:rsid w:val="00FA332A"/>
    <w:rsid w:val="00FA36CD"/>
    <w:rsid w:val="00FA38DB"/>
    <w:rsid w:val="00FA45E6"/>
    <w:rsid w:val="00FA4AAF"/>
    <w:rsid w:val="00FA4F01"/>
    <w:rsid w:val="00FA52FD"/>
    <w:rsid w:val="00FA539B"/>
    <w:rsid w:val="00FA5536"/>
    <w:rsid w:val="00FA57D9"/>
    <w:rsid w:val="00FA5A81"/>
    <w:rsid w:val="00FA6182"/>
    <w:rsid w:val="00FA62C1"/>
    <w:rsid w:val="00FA64D6"/>
    <w:rsid w:val="00FA6932"/>
    <w:rsid w:val="00FA6B75"/>
    <w:rsid w:val="00FA7183"/>
    <w:rsid w:val="00FA7415"/>
    <w:rsid w:val="00FA76A5"/>
    <w:rsid w:val="00FA780F"/>
    <w:rsid w:val="00FA7925"/>
    <w:rsid w:val="00FA7ACF"/>
    <w:rsid w:val="00FA7C6C"/>
    <w:rsid w:val="00FB0144"/>
    <w:rsid w:val="00FB0C29"/>
    <w:rsid w:val="00FB0C74"/>
    <w:rsid w:val="00FB10EE"/>
    <w:rsid w:val="00FB1197"/>
    <w:rsid w:val="00FB1692"/>
    <w:rsid w:val="00FB1735"/>
    <w:rsid w:val="00FB18EA"/>
    <w:rsid w:val="00FB1B32"/>
    <w:rsid w:val="00FB1FD2"/>
    <w:rsid w:val="00FB239C"/>
    <w:rsid w:val="00FB2594"/>
    <w:rsid w:val="00FB2A75"/>
    <w:rsid w:val="00FB33F1"/>
    <w:rsid w:val="00FB3612"/>
    <w:rsid w:val="00FB3C93"/>
    <w:rsid w:val="00FB3D0C"/>
    <w:rsid w:val="00FB3D13"/>
    <w:rsid w:val="00FB458B"/>
    <w:rsid w:val="00FB4957"/>
    <w:rsid w:val="00FB4AAE"/>
    <w:rsid w:val="00FB4E64"/>
    <w:rsid w:val="00FB56A5"/>
    <w:rsid w:val="00FB59F9"/>
    <w:rsid w:val="00FB5B5B"/>
    <w:rsid w:val="00FB5E64"/>
    <w:rsid w:val="00FB5ECC"/>
    <w:rsid w:val="00FB6152"/>
    <w:rsid w:val="00FB6164"/>
    <w:rsid w:val="00FB62A9"/>
    <w:rsid w:val="00FB6992"/>
    <w:rsid w:val="00FB6C69"/>
    <w:rsid w:val="00FB6F2B"/>
    <w:rsid w:val="00FB7214"/>
    <w:rsid w:val="00FB7500"/>
    <w:rsid w:val="00FB7637"/>
    <w:rsid w:val="00FB76BA"/>
    <w:rsid w:val="00FB7AF0"/>
    <w:rsid w:val="00FB7C69"/>
    <w:rsid w:val="00FB7FAD"/>
    <w:rsid w:val="00FC03DB"/>
    <w:rsid w:val="00FC0414"/>
    <w:rsid w:val="00FC0635"/>
    <w:rsid w:val="00FC06E8"/>
    <w:rsid w:val="00FC0749"/>
    <w:rsid w:val="00FC093C"/>
    <w:rsid w:val="00FC1AB9"/>
    <w:rsid w:val="00FC1AD2"/>
    <w:rsid w:val="00FC1BFA"/>
    <w:rsid w:val="00FC2171"/>
    <w:rsid w:val="00FC230A"/>
    <w:rsid w:val="00FC2A54"/>
    <w:rsid w:val="00FC2BA9"/>
    <w:rsid w:val="00FC2BD1"/>
    <w:rsid w:val="00FC353C"/>
    <w:rsid w:val="00FC37F4"/>
    <w:rsid w:val="00FC3AAC"/>
    <w:rsid w:val="00FC3C73"/>
    <w:rsid w:val="00FC3FEE"/>
    <w:rsid w:val="00FC4041"/>
    <w:rsid w:val="00FC4113"/>
    <w:rsid w:val="00FC47C4"/>
    <w:rsid w:val="00FC4936"/>
    <w:rsid w:val="00FC4C06"/>
    <w:rsid w:val="00FC4D25"/>
    <w:rsid w:val="00FC4EDC"/>
    <w:rsid w:val="00FC5194"/>
    <w:rsid w:val="00FC52E6"/>
    <w:rsid w:val="00FC54B7"/>
    <w:rsid w:val="00FC5635"/>
    <w:rsid w:val="00FC56BC"/>
    <w:rsid w:val="00FC58D5"/>
    <w:rsid w:val="00FC5A70"/>
    <w:rsid w:val="00FC5DEA"/>
    <w:rsid w:val="00FC5F52"/>
    <w:rsid w:val="00FC606B"/>
    <w:rsid w:val="00FC622B"/>
    <w:rsid w:val="00FC6CC9"/>
    <w:rsid w:val="00FC6D9B"/>
    <w:rsid w:val="00FC6DD0"/>
    <w:rsid w:val="00FC73F5"/>
    <w:rsid w:val="00FC7757"/>
    <w:rsid w:val="00FC79EB"/>
    <w:rsid w:val="00FC79F1"/>
    <w:rsid w:val="00FD0043"/>
    <w:rsid w:val="00FD010C"/>
    <w:rsid w:val="00FD0417"/>
    <w:rsid w:val="00FD05BE"/>
    <w:rsid w:val="00FD061C"/>
    <w:rsid w:val="00FD0917"/>
    <w:rsid w:val="00FD0A63"/>
    <w:rsid w:val="00FD0AC1"/>
    <w:rsid w:val="00FD0E43"/>
    <w:rsid w:val="00FD1006"/>
    <w:rsid w:val="00FD1489"/>
    <w:rsid w:val="00FD162F"/>
    <w:rsid w:val="00FD1C9C"/>
    <w:rsid w:val="00FD292A"/>
    <w:rsid w:val="00FD2BDC"/>
    <w:rsid w:val="00FD320B"/>
    <w:rsid w:val="00FD32A5"/>
    <w:rsid w:val="00FD333E"/>
    <w:rsid w:val="00FD3562"/>
    <w:rsid w:val="00FD3A1D"/>
    <w:rsid w:val="00FD3D6F"/>
    <w:rsid w:val="00FD3EC2"/>
    <w:rsid w:val="00FD422B"/>
    <w:rsid w:val="00FD4313"/>
    <w:rsid w:val="00FD4327"/>
    <w:rsid w:val="00FD5318"/>
    <w:rsid w:val="00FD5765"/>
    <w:rsid w:val="00FD5864"/>
    <w:rsid w:val="00FD5AC3"/>
    <w:rsid w:val="00FD5D05"/>
    <w:rsid w:val="00FD5D54"/>
    <w:rsid w:val="00FD5E0E"/>
    <w:rsid w:val="00FD5E11"/>
    <w:rsid w:val="00FD5FF7"/>
    <w:rsid w:val="00FD6235"/>
    <w:rsid w:val="00FD64A6"/>
    <w:rsid w:val="00FD6E84"/>
    <w:rsid w:val="00FD71FF"/>
    <w:rsid w:val="00FD74AF"/>
    <w:rsid w:val="00FD75A3"/>
    <w:rsid w:val="00FD78FD"/>
    <w:rsid w:val="00FE0229"/>
    <w:rsid w:val="00FE044A"/>
    <w:rsid w:val="00FE09ED"/>
    <w:rsid w:val="00FE0C50"/>
    <w:rsid w:val="00FE0C9C"/>
    <w:rsid w:val="00FE1C42"/>
    <w:rsid w:val="00FE1FAD"/>
    <w:rsid w:val="00FE2156"/>
    <w:rsid w:val="00FE22A9"/>
    <w:rsid w:val="00FE26E6"/>
    <w:rsid w:val="00FE27FD"/>
    <w:rsid w:val="00FE2AD2"/>
    <w:rsid w:val="00FE2B0C"/>
    <w:rsid w:val="00FE2C9B"/>
    <w:rsid w:val="00FE2EA8"/>
    <w:rsid w:val="00FE30CC"/>
    <w:rsid w:val="00FE30D8"/>
    <w:rsid w:val="00FE32A7"/>
    <w:rsid w:val="00FE3764"/>
    <w:rsid w:val="00FE39F3"/>
    <w:rsid w:val="00FE3E09"/>
    <w:rsid w:val="00FE4243"/>
    <w:rsid w:val="00FE4879"/>
    <w:rsid w:val="00FE4DF1"/>
    <w:rsid w:val="00FE5316"/>
    <w:rsid w:val="00FE5716"/>
    <w:rsid w:val="00FE6154"/>
    <w:rsid w:val="00FE6429"/>
    <w:rsid w:val="00FE6464"/>
    <w:rsid w:val="00FE6504"/>
    <w:rsid w:val="00FE67E0"/>
    <w:rsid w:val="00FE688A"/>
    <w:rsid w:val="00FE68B4"/>
    <w:rsid w:val="00FE6A70"/>
    <w:rsid w:val="00FE6BED"/>
    <w:rsid w:val="00FE6EDE"/>
    <w:rsid w:val="00FE70B7"/>
    <w:rsid w:val="00FE7220"/>
    <w:rsid w:val="00FE78A7"/>
    <w:rsid w:val="00FE7C3B"/>
    <w:rsid w:val="00FE7FE5"/>
    <w:rsid w:val="00FF044B"/>
    <w:rsid w:val="00FF08DC"/>
    <w:rsid w:val="00FF0C0B"/>
    <w:rsid w:val="00FF0C3B"/>
    <w:rsid w:val="00FF1409"/>
    <w:rsid w:val="00FF159A"/>
    <w:rsid w:val="00FF168A"/>
    <w:rsid w:val="00FF16E7"/>
    <w:rsid w:val="00FF1744"/>
    <w:rsid w:val="00FF1759"/>
    <w:rsid w:val="00FF1777"/>
    <w:rsid w:val="00FF1A67"/>
    <w:rsid w:val="00FF1A92"/>
    <w:rsid w:val="00FF1F1F"/>
    <w:rsid w:val="00FF25BE"/>
    <w:rsid w:val="00FF2E65"/>
    <w:rsid w:val="00FF32EF"/>
    <w:rsid w:val="00FF3B1E"/>
    <w:rsid w:val="00FF43BC"/>
    <w:rsid w:val="00FF44C4"/>
    <w:rsid w:val="00FF46AB"/>
    <w:rsid w:val="00FF487A"/>
    <w:rsid w:val="00FF48E2"/>
    <w:rsid w:val="00FF48F8"/>
    <w:rsid w:val="00FF4BE6"/>
    <w:rsid w:val="00FF4CCB"/>
    <w:rsid w:val="00FF4EE7"/>
    <w:rsid w:val="00FF5159"/>
    <w:rsid w:val="00FF52BA"/>
    <w:rsid w:val="00FF59D2"/>
    <w:rsid w:val="00FF5A2B"/>
    <w:rsid w:val="00FF5E7D"/>
    <w:rsid w:val="00FF60C7"/>
    <w:rsid w:val="00FF6120"/>
    <w:rsid w:val="00FF614B"/>
    <w:rsid w:val="00FF6426"/>
    <w:rsid w:val="00FF68D0"/>
    <w:rsid w:val="00FF6A2A"/>
    <w:rsid w:val="00FF6D31"/>
    <w:rsid w:val="00FF76E6"/>
    <w:rsid w:val="00FF7C8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7EBF78"/>
  <w15:chartTrackingRefBased/>
  <w15:docId w15:val="{DEF96C48-1825-430F-848E-C840408BD3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Gothic" w:eastAsia="Century Gothic" w:hAnsi="Century Gothic"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0FEB"/>
    <w:rPr>
      <w:rFonts w:asciiTheme="minorHAnsi" w:hAnsiTheme="minorHAnsi" w:cstheme="minorHAnsi"/>
      <w:color w:val="53585F" w:themeColor="text2"/>
      <w:sz w:val="22"/>
      <w:szCs w:val="24"/>
    </w:rPr>
  </w:style>
  <w:style w:type="paragraph" w:styleId="Heading1">
    <w:name w:val="heading 1"/>
    <w:next w:val="Normal"/>
    <w:link w:val="Heading1Char"/>
    <w:uiPriority w:val="9"/>
    <w:qFormat/>
    <w:rsid w:val="004F2A9E"/>
    <w:pPr>
      <w:spacing w:after="120"/>
      <w:outlineLvl w:val="0"/>
    </w:pPr>
    <w:rPr>
      <w:rFonts w:ascii="Rockwell" w:eastAsia="Times New Roman" w:hAnsi="Rockwell"/>
      <w:color w:val="B31E3E" w:themeColor="accent1"/>
      <w:sz w:val="32"/>
      <w:szCs w:val="24"/>
    </w:rPr>
  </w:style>
  <w:style w:type="paragraph" w:styleId="Heading2">
    <w:name w:val="heading 2"/>
    <w:basedOn w:val="Normal"/>
    <w:next w:val="Normal"/>
    <w:link w:val="Heading2Char"/>
    <w:uiPriority w:val="9"/>
    <w:unhideWhenUsed/>
    <w:qFormat/>
    <w:rsid w:val="00D2460A"/>
    <w:pPr>
      <w:keepNext/>
      <w:pBdr>
        <w:top w:val="single" w:sz="12" w:space="1" w:color="auto"/>
      </w:pBdr>
      <w:spacing w:after="160" w:line="278" w:lineRule="auto"/>
      <w:outlineLvl w:val="1"/>
    </w:pPr>
    <w:rPr>
      <w:rFonts w:ascii="Arial" w:eastAsiaTheme="minorHAnsi" w:hAnsi="Arial" w:cs="Arial"/>
      <w:b/>
      <w:noProof/>
      <w:color w:val="B31D3F"/>
      <w:kern w:val="2"/>
      <w:sz w:val="28"/>
      <w:szCs w:val="22"/>
      <w14:ligatures w14:val="standardContextual"/>
    </w:rPr>
  </w:style>
  <w:style w:type="paragraph" w:styleId="Heading3">
    <w:name w:val="heading 3"/>
    <w:basedOn w:val="Normal"/>
    <w:next w:val="Normal"/>
    <w:link w:val="Heading3Char"/>
    <w:uiPriority w:val="9"/>
    <w:unhideWhenUsed/>
    <w:qFormat/>
    <w:rsid w:val="00625093"/>
    <w:pPr>
      <w:keepNext/>
      <w:keepLines/>
      <w:spacing w:before="240"/>
      <w:outlineLvl w:val="2"/>
    </w:pPr>
    <w:rPr>
      <w:rFonts w:eastAsia="Times New Roman" w:cs="Times New Roman (Headings CS)"/>
      <w:b/>
      <w:bCs/>
      <w:i/>
      <w:iCs/>
      <w:color w:val="B31E3E" w:themeColor="accent1"/>
    </w:rPr>
  </w:style>
  <w:style w:type="paragraph" w:styleId="Heading4">
    <w:name w:val="heading 4"/>
    <w:basedOn w:val="Normal"/>
    <w:next w:val="Normal"/>
    <w:link w:val="Heading4Char"/>
    <w:uiPriority w:val="9"/>
    <w:unhideWhenUsed/>
    <w:qFormat/>
    <w:rsid w:val="0016466F"/>
    <w:pPr>
      <w:keepNext/>
      <w:keepLines/>
      <w:spacing w:before="40"/>
      <w:outlineLvl w:val="3"/>
    </w:pPr>
    <w:rPr>
      <w:rFonts w:ascii="Montserrat" w:eastAsia="Times New Roman" w:hAnsi="Montserrat"/>
      <w:b/>
      <w:i/>
      <w:iCs/>
    </w:rPr>
  </w:style>
  <w:style w:type="paragraph" w:styleId="Heading5">
    <w:name w:val="heading 5"/>
    <w:basedOn w:val="Normal"/>
    <w:next w:val="Normal"/>
    <w:link w:val="Heading5Char"/>
    <w:uiPriority w:val="9"/>
    <w:semiHidden/>
    <w:unhideWhenUsed/>
    <w:qFormat/>
    <w:rsid w:val="00D2460A"/>
    <w:pPr>
      <w:keepNext/>
      <w:keepLines/>
      <w:spacing w:before="80" w:after="40" w:line="278" w:lineRule="auto"/>
      <w:ind w:left="360"/>
      <w:outlineLvl w:val="4"/>
    </w:pPr>
    <w:rPr>
      <w:rFonts w:ascii="Arial" w:eastAsiaTheme="majorEastAsia" w:hAnsi="Arial" w:cstheme="majorBidi"/>
      <w:noProof/>
      <w:color w:val="85162E" w:themeColor="accent1" w:themeShade="BF"/>
      <w:kern w:val="2"/>
      <w:szCs w:val="22"/>
      <w14:ligatures w14:val="standardContextual"/>
    </w:rPr>
  </w:style>
  <w:style w:type="paragraph" w:styleId="Heading6">
    <w:name w:val="heading 6"/>
    <w:basedOn w:val="Normal"/>
    <w:next w:val="Normal"/>
    <w:link w:val="Heading6Char"/>
    <w:uiPriority w:val="9"/>
    <w:semiHidden/>
    <w:unhideWhenUsed/>
    <w:qFormat/>
    <w:rsid w:val="00D2460A"/>
    <w:pPr>
      <w:keepNext/>
      <w:keepLines/>
      <w:spacing w:before="40" w:line="278" w:lineRule="auto"/>
      <w:ind w:left="360"/>
      <w:outlineLvl w:val="5"/>
    </w:pPr>
    <w:rPr>
      <w:rFonts w:ascii="Arial" w:eastAsiaTheme="majorEastAsia" w:hAnsi="Arial" w:cstheme="majorBidi"/>
      <w:i/>
      <w:iCs/>
      <w:noProof/>
      <w:color w:val="595959" w:themeColor="text1" w:themeTint="A6"/>
      <w:kern w:val="2"/>
      <w:szCs w:val="22"/>
      <w14:ligatures w14:val="standardContextual"/>
    </w:rPr>
  </w:style>
  <w:style w:type="paragraph" w:styleId="Heading7">
    <w:name w:val="heading 7"/>
    <w:basedOn w:val="Normal"/>
    <w:next w:val="Normal"/>
    <w:link w:val="Heading7Char"/>
    <w:uiPriority w:val="9"/>
    <w:semiHidden/>
    <w:unhideWhenUsed/>
    <w:qFormat/>
    <w:rsid w:val="00D2460A"/>
    <w:pPr>
      <w:keepNext/>
      <w:keepLines/>
      <w:spacing w:before="40" w:line="278" w:lineRule="auto"/>
      <w:ind w:left="360"/>
      <w:outlineLvl w:val="6"/>
    </w:pPr>
    <w:rPr>
      <w:rFonts w:ascii="Arial" w:eastAsiaTheme="majorEastAsia" w:hAnsi="Arial" w:cstheme="majorBidi"/>
      <w:noProof/>
      <w:color w:val="595959" w:themeColor="text1" w:themeTint="A6"/>
      <w:kern w:val="2"/>
      <w:szCs w:val="22"/>
      <w14:ligatures w14:val="standardContextual"/>
    </w:rPr>
  </w:style>
  <w:style w:type="paragraph" w:styleId="Heading8">
    <w:name w:val="heading 8"/>
    <w:basedOn w:val="Normal"/>
    <w:next w:val="Normal"/>
    <w:link w:val="Heading8Char"/>
    <w:uiPriority w:val="9"/>
    <w:unhideWhenUsed/>
    <w:qFormat/>
    <w:rsid w:val="00BF4869"/>
    <w:pPr>
      <w:keepNext/>
      <w:keepLines/>
      <w:spacing w:before="40"/>
      <w:outlineLvl w:val="7"/>
    </w:pPr>
    <w:rPr>
      <w:rFonts w:ascii="Century Gothic" w:eastAsia="Times New Roman" w:hAnsi="Century Gothic"/>
      <w:color w:val="272727"/>
      <w:sz w:val="21"/>
      <w:szCs w:val="21"/>
    </w:rPr>
  </w:style>
  <w:style w:type="paragraph" w:styleId="Heading9">
    <w:name w:val="heading 9"/>
    <w:basedOn w:val="Normal"/>
    <w:next w:val="Normal"/>
    <w:link w:val="Heading9Char"/>
    <w:uiPriority w:val="9"/>
    <w:unhideWhenUsed/>
    <w:qFormat/>
    <w:rsid w:val="00BF4869"/>
    <w:pPr>
      <w:keepNext/>
      <w:keepLines/>
      <w:spacing w:before="40"/>
      <w:outlineLvl w:val="8"/>
    </w:pPr>
    <w:rPr>
      <w:rFonts w:ascii="Century Gothic" w:eastAsia="Times New Roman" w:hAnsi="Century Gothic"/>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43DEF"/>
    <w:rPr>
      <w:rFonts w:ascii="Rockwell" w:eastAsia="Times New Roman" w:hAnsi="Rockwell"/>
      <w:color w:val="B31E3E" w:themeColor="accent1"/>
      <w:sz w:val="32"/>
      <w:szCs w:val="24"/>
    </w:rPr>
  </w:style>
  <w:style w:type="character" w:customStyle="1" w:styleId="Heading3Char">
    <w:name w:val="Heading 3 Char"/>
    <w:link w:val="Heading3"/>
    <w:uiPriority w:val="9"/>
    <w:rsid w:val="00625093"/>
    <w:rPr>
      <w:rFonts w:asciiTheme="minorHAnsi" w:eastAsia="Times New Roman" w:hAnsiTheme="minorHAnsi" w:cs="Times New Roman (Headings CS)"/>
      <w:b/>
      <w:bCs/>
      <w:i/>
      <w:iCs/>
      <w:color w:val="B31E3E" w:themeColor="accent1"/>
      <w:sz w:val="22"/>
      <w:szCs w:val="24"/>
    </w:rPr>
  </w:style>
  <w:style w:type="character" w:customStyle="1" w:styleId="Heading2Char">
    <w:name w:val="Heading 2 Char"/>
    <w:basedOn w:val="DefaultParagraphFont"/>
    <w:link w:val="Heading2"/>
    <w:uiPriority w:val="9"/>
    <w:rsid w:val="00D2460A"/>
    <w:rPr>
      <w:rFonts w:ascii="Arial" w:eastAsiaTheme="minorHAnsi" w:hAnsi="Arial" w:cs="Arial"/>
      <w:b/>
      <w:noProof/>
      <w:color w:val="B31D3F"/>
      <w:kern w:val="2"/>
      <w:sz w:val="28"/>
      <w:szCs w:val="22"/>
      <w14:ligatures w14:val="standardContextual"/>
    </w:rPr>
  </w:style>
  <w:style w:type="character" w:customStyle="1" w:styleId="Heading4Char">
    <w:name w:val="Heading 4 Char"/>
    <w:link w:val="Heading4"/>
    <w:uiPriority w:val="9"/>
    <w:rsid w:val="0016466F"/>
    <w:rPr>
      <w:rFonts w:ascii="Montserrat" w:eastAsia="Times New Roman" w:hAnsi="Montserrat" w:cstheme="minorHAnsi"/>
      <w:b/>
      <w:i/>
      <w:iCs/>
      <w:color w:val="53585F" w:themeColor="text2"/>
      <w:sz w:val="22"/>
      <w:szCs w:val="24"/>
    </w:rPr>
  </w:style>
  <w:style w:type="character" w:customStyle="1" w:styleId="Heading8Char">
    <w:name w:val="Heading 8 Char"/>
    <w:link w:val="Heading8"/>
    <w:uiPriority w:val="9"/>
    <w:rsid w:val="00BF4869"/>
    <w:rPr>
      <w:rFonts w:ascii="Century Gothic" w:eastAsia="Times New Roman" w:hAnsi="Century Gothic" w:cs="Times New Roman"/>
      <w:color w:val="272727"/>
      <w:sz w:val="21"/>
      <w:szCs w:val="21"/>
    </w:rPr>
  </w:style>
  <w:style w:type="character" w:customStyle="1" w:styleId="Heading9Char">
    <w:name w:val="Heading 9 Char"/>
    <w:link w:val="Heading9"/>
    <w:uiPriority w:val="9"/>
    <w:rsid w:val="00BF4869"/>
    <w:rPr>
      <w:rFonts w:ascii="Century Gothic" w:eastAsia="Times New Roman" w:hAnsi="Century Gothic" w:cs="Times New Roman"/>
      <w:i/>
      <w:iCs/>
      <w:color w:val="272727"/>
      <w:sz w:val="21"/>
      <w:szCs w:val="21"/>
    </w:rPr>
  </w:style>
  <w:style w:type="paragraph" w:styleId="Header">
    <w:name w:val="header"/>
    <w:next w:val="Heading1"/>
    <w:link w:val="HeaderChar"/>
    <w:uiPriority w:val="99"/>
    <w:unhideWhenUsed/>
    <w:qFormat/>
    <w:rsid w:val="00617728"/>
    <w:pPr>
      <w:tabs>
        <w:tab w:val="center" w:pos="4680"/>
        <w:tab w:val="right" w:pos="9360"/>
      </w:tabs>
      <w:suppressAutoHyphens/>
      <w:ind w:left="1296" w:right="-720"/>
      <w:jc w:val="right"/>
    </w:pPr>
    <w:rPr>
      <w:rFonts w:ascii="Times New Roman" w:hAnsi="Times New Roman"/>
      <w:b/>
      <w:bCs/>
      <w:color w:val="53585F" w:themeColor="text2"/>
      <w:sz w:val="40"/>
      <w:szCs w:val="15"/>
    </w:rPr>
  </w:style>
  <w:style w:type="character" w:customStyle="1" w:styleId="HeaderChar">
    <w:name w:val="Header Char"/>
    <w:link w:val="Header"/>
    <w:uiPriority w:val="99"/>
    <w:rsid w:val="00617728"/>
    <w:rPr>
      <w:rFonts w:ascii="Times New Roman" w:hAnsi="Times New Roman"/>
      <w:b/>
      <w:bCs/>
      <w:color w:val="53585F" w:themeColor="text2"/>
      <w:sz w:val="40"/>
      <w:szCs w:val="15"/>
    </w:rPr>
  </w:style>
  <w:style w:type="paragraph" w:styleId="Footer">
    <w:name w:val="footer"/>
    <w:basedOn w:val="Normal"/>
    <w:link w:val="FooterChar"/>
    <w:uiPriority w:val="99"/>
    <w:unhideWhenUsed/>
    <w:rsid w:val="002A1C15"/>
    <w:pPr>
      <w:tabs>
        <w:tab w:val="center" w:pos="4680"/>
        <w:tab w:val="right" w:pos="9360"/>
      </w:tabs>
      <w:spacing w:after="480"/>
    </w:pPr>
    <w:rPr>
      <w:bCs/>
      <w:szCs w:val="20"/>
    </w:rPr>
  </w:style>
  <w:style w:type="character" w:customStyle="1" w:styleId="FooterChar">
    <w:name w:val="Footer Char"/>
    <w:link w:val="Footer"/>
    <w:uiPriority w:val="99"/>
    <w:rsid w:val="002A1C15"/>
    <w:rPr>
      <w:rFonts w:ascii="Times New Roman" w:hAnsi="Times New Roman"/>
      <w:bCs/>
      <w:color w:val="53585F" w:themeColor="text2"/>
      <w:sz w:val="24"/>
    </w:rPr>
  </w:style>
  <w:style w:type="paragraph" w:styleId="NoSpacing">
    <w:name w:val="No Spacing"/>
    <w:aliases w:val="Table Body Copy"/>
    <w:link w:val="NoSpacingChar"/>
    <w:uiPriority w:val="1"/>
    <w:qFormat/>
    <w:rsid w:val="00F44FA2"/>
    <w:rPr>
      <w:rFonts w:ascii="Times New Roman" w:hAnsi="Times New Roman"/>
      <w:color w:val="53585F" w:themeColor="text2"/>
      <w:szCs w:val="21"/>
    </w:rPr>
  </w:style>
  <w:style w:type="character" w:customStyle="1" w:styleId="NoSpacingChar">
    <w:name w:val="No Spacing Char"/>
    <w:aliases w:val="Table Body Copy Char"/>
    <w:link w:val="NoSpacing"/>
    <w:uiPriority w:val="1"/>
    <w:rsid w:val="00F44FA2"/>
    <w:rPr>
      <w:rFonts w:ascii="Times New Roman" w:hAnsi="Times New Roman"/>
      <w:color w:val="53585F" w:themeColor="text2"/>
      <w:szCs w:val="21"/>
    </w:rPr>
  </w:style>
  <w:style w:type="character" w:styleId="PageNumber">
    <w:name w:val="page number"/>
    <w:basedOn w:val="DefaultParagraphFont"/>
    <w:uiPriority w:val="99"/>
    <w:semiHidden/>
    <w:unhideWhenUsed/>
    <w:rsid w:val="004C0000"/>
    <w:rPr>
      <w:rFonts w:ascii="Times New Roman" w:hAnsi="Times New Roman"/>
      <w:color w:val="53585F" w:themeColor="text2"/>
      <w:sz w:val="24"/>
    </w:rPr>
  </w:style>
  <w:style w:type="paragraph" w:styleId="NormalWeb">
    <w:name w:val="Normal (Web)"/>
    <w:basedOn w:val="Normal"/>
    <w:uiPriority w:val="99"/>
    <w:semiHidden/>
    <w:unhideWhenUsed/>
    <w:rsid w:val="001F745A"/>
    <w:pPr>
      <w:spacing w:before="100" w:beforeAutospacing="1" w:after="100" w:afterAutospacing="1"/>
    </w:pPr>
    <w:rPr>
      <w:rFonts w:eastAsia="Times New Roman"/>
    </w:rPr>
  </w:style>
  <w:style w:type="paragraph" w:customStyle="1" w:styleId="Style1">
    <w:name w:val="Style1"/>
    <w:basedOn w:val="Normal"/>
    <w:qFormat/>
    <w:rsid w:val="008A744F"/>
    <w:pPr>
      <w:spacing w:before="600" w:after="720"/>
      <w:ind w:left="1440" w:right="1440"/>
      <w:jc w:val="center"/>
    </w:pPr>
    <w:rPr>
      <w:color w:val="FFFFFF"/>
    </w:rPr>
  </w:style>
  <w:style w:type="paragraph" w:styleId="Subtitle">
    <w:name w:val="Subtitle"/>
    <w:basedOn w:val="CoverSubheadGrey"/>
    <w:next w:val="Normal"/>
    <w:link w:val="SubtitleChar"/>
    <w:uiPriority w:val="11"/>
    <w:qFormat/>
    <w:rsid w:val="0006411C"/>
  </w:style>
  <w:style w:type="paragraph" w:customStyle="1" w:styleId="CoverSubheadGrey">
    <w:name w:val="Cover Subhead Grey"/>
    <w:rsid w:val="001356DF"/>
    <w:pPr>
      <w:spacing w:after="115"/>
      <w:jc w:val="right"/>
    </w:pPr>
    <w:rPr>
      <w:rFonts w:ascii="Times New Roman" w:eastAsia="Times New Roman" w:hAnsi="Times New Roman"/>
      <w:bCs/>
      <w:color w:val="53585F" w:themeColor="text2"/>
      <w:sz w:val="40"/>
      <w:szCs w:val="32"/>
    </w:rPr>
  </w:style>
  <w:style w:type="character" w:customStyle="1" w:styleId="SubtitleChar">
    <w:name w:val="Subtitle Char"/>
    <w:link w:val="Subtitle"/>
    <w:uiPriority w:val="11"/>
    <w:rsid w:val="0006411C"/>
    <w:rPr>
      <w:rFonts w:ascii="Times New Roman" w:eastAsia="Times New Roman" w:hAnsi="Times New Roman"/>
      <w:bCs/>
      <w:color w:val="53585F" w:themeColor="text2"/>
      <w:sz w:val="40"/>
      <w:szCs w:val="32"/>
    </w:rPr>
  </w:style>
  <w:style w:type="paragraph" w:styleId="ListBullet">
    <w:name w:val="List Bullet"/>
    <w:basedOn w:val="Normal"/>
    <w:uiPriority w:val="99"/>
    <w:unhideWhenUsed/>
    <w:rsid w:val="006C7856"/>
    <w:pPr>
      <w:numPr>
        <w:numId w:val="4"/>
      </w:numPr>
      <w:contextualSpacing/>
    </w:pPr>
  </w:style>
  <w:style w:type="paragraph" w:styleId="ListBullet2">
    <w:name w:val="List Bullet 2"/>
    <w:basedOn w:val="Normal"/>
    <w:uiPriority w:val="99"/>
    <w:unhideWhenUsed/>
    <w:rsid w:val="00B80723"/>
    <w:pPr>
      <w:numPr>
        <w:numId w:val="3"/>
      </w:numPr>
      <w:contextualSpacing/>
    </w:pPr>
  </w:style>
  <w:style w:type="table" w:styleId="TableGrid">
    <w:name w:val="Table Grid"/>
    <w:basedOn w:val="TableNormal"/>
    <w:uiPriority w:val="39"/>
    <w:rsid w:val="007C05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qFormat/>
    <w:rsid w:val="007705F9"/>
    <w:pPr>
      <w:jc w:val="center"/>
    </w:pPr>
    <w:rPr>
      <w:rFonts w:ascii="Times New Roman" w:hAnsi="Times New Roman"/>
      <w:b/>
      <w:bCs/>
      <w:color w:val="FFFFFF" w:themeColor="background1"/>
      <w:sz w:val="24"/>
      <w:szCs w:val="28"/>
    </w:rPr>
  </w:style>
  <w:style w:type="paragraph" w:styleId="ListBullet4">
    <w:name w:val="List Bullet 4"/>
    <w:basedOn w:val="Normal"/>
    <w:uiPriority w:val="99"/>
    <w:unhideWhenUsed/>
    <w:rsid w:val="006C7856"/>
    <w:pPr>
      <w:numPr>
        <w:numId w:val="1"/>
      </w:numPr>
      <w:contextualSpacing/>
    </w:pPr>
  </w:style>
  <w:style w:type="paragraph" w:styleId="ListBullet3">
    <w:name w:val="List Bullet 3"/>
    <w:basedOn w:val="Normal"/>
    <w:uiPriority w:val="99"/>
    <w:unhideWhenUsed/>
    <w:rsid w:val="006C7856"/>
    <w:pPr>
      <w:numPr>
        <w:numId w:val="2"/>
      </w:numPr>
      <w:contextualSpacing/>
    </w:pPr>
  </w:style>
  <w:style w:type="paragraph" w:styleId="TOC1">
    <w:name w:val="toc 1"/>
    <w:basedOn w:val="Normal"/>
    <w:next w:val="Normal"/>
    <w:autoRedefine/>
    <w:uiPriority w:val="39"/>
    <w:unhideWhenUsed/>
    <w:rsid w:val="00004ADD"/>
    <w:pPr>
      <w:tabs>
        <w:tab w:val="right" w:leader="dot" w:pos="10790"/>
      </w:tabs>
      <w:spacing w:before="120"/>
    </w:pPr>
    <w:rPr>
      <w:b/>
      <w:bCs/>
      <w:caps/>
      <w:sz w:val="20"/>
      <w:szCs w:val="20"/>
    </w:rPr>
  </w:style>
  <w:style w:type="character" w:styleId="Hyperlink">
    <w:name w:val="Hyperlink"/>
    <w:uiPriority w:val="99"/>
    <w:unhideWhenUsed/>
    <w:rsid w:val="00603E7E"/>
    <w:rPr>
      <w:color w:val="0563C1"/>
      <w:u w:val="single"/>
    </w:rPr>
  </w:style>
  <w:style w:type="paragraph" w:styleId="TOC2">
    <w:name w:val="toc 2"/>
    <w:basedOn w:val="Normal"/>
    <w:next w:val="Normal"/>
    <w:autoRedefine/>
    <w:uiPriority w:val="39"/>
    <w:unhideWhenUsed/>
    <w:rsid w:val="005A5470"/>
    <w:pPr>
      <w:tabs>
        <w:tab w:val="right" w:leader="dot" w:pos="10790"/>
      </w:tabs>
      <w:ind w:left="220"/>
    </w:pPr>
    <w:rPr>
      <w:smallCaps/>
      <w:sz w:val="20"/>
      <w:szCs w:val="20"/>
    </w:rPr>
  </w:style>
  <w:style w:type="paragraph" w:styleId="TOC3">
    <w:name w:val="toc 3"/>
    <w:basedOn w:val="Normal"/>
    <w:next w:val="Normal"/>
    <w:autoRedefine/>
    <w:uiPriority w:val="39"/>
    <w:unhideWhenUsed/>
    <w:rsid w:val="0009002C"/>
    <w:pPr>
      <w:ind w:left="440"/>
    </w:pPr>
    <w:rPr>
      <w:i/>
      <w:iCs/>
      <w:sz w:val="20"/>
      <w:szCs w:val="20"/>
    </w:rPr>
  </w:style>
  <w:style w:type="paragraph" w:customStyle="1" w:styleId="Default">
    <w:name w:val="Default"/>
    <w:rsid w:val="00E251E1"/>
    <w:pPr>
      <w:autoSpaceDE w:val="0"/>
      <w:autoSpaceDN w:val="0"/>
      <w:adjustRightInd w:val="0"/>
    </w:pPr>
    <w:rPr>
      <w:rFonts w:ascii="Times New Roman" w:hAnsi="Times New Roman"/>
      <w:color w:val="53585F" w:themeColor="text2"/>
      <w:sz w:val="24"/>
      <w:szCs w:val="24"/>
    </w:rPr>
  </w:style>
  <w:style w:type="paragraph" w:customStyle="1" w:styleId="SubtitleOrange">
    <w:name w:val="Subtitle Orange"/>
    <w:basedOn w:val="Normal"/>
    <w:qFormat/>
    <w:rsid w:val="00301CA3"/>
    <w:rPr>
      <w:b/>
      <w:bCs/>
      <w:color w:val="B31E3E" w:themeColor="accent1"/>
      <w:sz w:val="32"/>
      <w:szCs w:val="36"/>
    </w:rPr>
  </w:style>
  <w:style w:type="paragraph" w:customStyle="1" w:styleId="CoverBodyGrey">
    <w:name w:val="Cover Body Grey"/>
    <w:basedOn w:val="SubtitleOrange"/>
    <w:qFormat/>
    <w:rsid w:val="004F2A9E"/>
    <w:rPr>
      <w:rFonts w:asciiTheme="majorHAnsi" w:hAnsiTheme="majorHAnsi" w:cstheme="majorHAnsi"/>
      <w:b w:val="0"/>
      <w:bCs w:val="0"/>
      <w:color w:val="53585F" w:themeColor="text2"/>
    </w:rPr>
  </w:style>
  <w:style w:type="paragraph" w:customStyle="1" w:styleId="CoverSubheadGrey-Left">
    <w:name w:val="Cover Subhead Grey - Left"/>
    <w:basedOn w:val="Subtitle"/>
    <w:qFormat/>
    <w:rsid w:val="004F2A9E"/>
    <w:pPr>
      <w:jc w:val="left"/>
    </w:pPr>
    <w:rPr>
      <w:rFonts w:ascii="Rockwell" w:hAnsi="Rockwell"/>
      <w:sz w:val="56"/>
      <w:szCs w:val="48"/>
    </w:rPr>
  </w:style>
  <w:style w:type="character" w:customStyle="1" w:styleId="UnresolvedMention1">
    <w:name w:val="Unresolved Mention1"/>
    <w:basedOn w:val="DefaultParagraphFont"/>
    <w:uiPriority w:val="99"/>
    <w:semiHidden/>
    <w:unhideWhenUsed/>
    <w:rsid w:val="00F9181C"/>
    <w:rPr>
      <w:rFonts w:ascii="Times New Roman" w:hAnsi="Times New Roman"/>
      <w:color w:val="605E5C"/>
      <w:sz w:val="24"/>
      <w:shd w:val="clear" w:color="auto" w:fill="E1DFDD"/>
    </w:rPr>
  </w:style>
  <w:style w:type="paragraph" w:customStyle="1" w:styleId="HeaderCopy-White">
    <w:name w:val="Header Copy - White"/>
    <w:basedOn w:val="Normal"/>
    <w:qFormat/>
    <w:rsid w:val="004F2A9E"/>
    <w:pPr>
      <w:jc w:val="right"/>
    </w:pPr>
    <w:rPr>
      <w:rFonts w:ascii="Rockwell" w:hAnsi="Rockwell"/>
      <w:color w:val="FFFFFF" w:themeColor="background1"/>
      <w:sz w:val="36"/>
      <w:szCs w:val="40"/>
    </w:rPr>
  </w:style>
  <w:style w:type="paragraph" w:customStyle="1" w:styleId="HeaderCopyWhite">
    <w:name w:val="Header Copy White"/>
    <w:basedOn w:val="Normal"/>
    <w:rsid w:val="00D42B1A"/>
    <w:pPr>
      <w:jc w:val="right"/>
    </w:pPr>
    <w:rPr>
      <w:b/>
      <w:bCs/>
      <w:color w:val="FFFFFF" w:themeColor="background1"/>
      <w:sz w:val="36"/>
      <w:szCs w:val="40"/>
    </w:rPr>
  </w:style>
  <w:style w:type="character" w:styleId="FollowedHyperlink">
    <w:name w:val="FollowedHyperlink"/>
    <w:basedOn w:val="DefaultParagraphFont"/>
    <w:uiPriority w:val="99"/>
    <w:unhideWhenUsed/>
    <w:rsid w:val="003E4875"/>
    <w:rPr>
      <w:rFonts w:ascii="Arial" w:hAnsi="Arial"/>
      <w:color w:val="53585F" w:themeColor="text2"/>
      <w:sz w:val="22"/>
      <w:u w:val="single"/>
    </w:rPr>
  </w:style>
  <w:style w:type="paragraph" w:styleId="Title">
    <w:name w:val="Title"/>
    <w:basedOn w:val="Header"/>
    <w:next w:val="Normal"/>
    <w:link w:val="TitleChar"/>
    <w:uiPriority w:val="10"/>
    <w:qFormat/>
    <w:rsid w:val="0006411C"/>
    <w:pPr>
      <w:ind w:left="0" w:right="0"/>
    </w:pPr>
  </w:style>
  <w:style w:type="character" w:customStyle="1" w:styleId="TitleChar">
    <w:name w:val="Title Char"/>
    <w:basedOn w:val="DefaultParagraphFont"/>
    <w:link w:val="Title"/>
    <w:uiPriority w:val="10"/>
    <w:rsid w:val="0006411C"/>
    <w:rPr>
      <w:rFonts w:ascii="Times New Roman" w:hAnsi="Times New Roman"/>
      <w:b/>
      <w:bCs/>
      <w:color w:val="53585F" w:themeColor="text2"/>
      <w:sz w:val="40"/>
      <w:szCs w:val="15"/>
    </w:rPr>
  </w:style>
  <w:style w:type="paragraph" w:customStyle="1" w:styleId="TableBodyBold">
    <w:name w:val="Table Body Bold"/>
    <w:qFormat/>
    <w:rsid w:val="00781193"/>
    <w:rPr>
      <w:rFonts w:ascii="Times New Roman" w:hAnsi="Times New Roman"/>
      <w:b/>
      <w:bCs/>
      <w:color w:val="53585F" w:themeColor="text2"/>
      <w:szCs w:val="21"/>
    </w:rPr>
  </w:style>
  <w:style w:type="table" w:styleId="PlainTable1">
    <w:name w:val="Plain Table 1"/>
    <w:basedOn w:val="TableNormal"/>
    <w:uiPriority w:val="41"/>
    <w:rsid w:val="00014FB9"/>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Accent6">
    <w:name w:val="Grid Table 1 Light Accent 6"/>
    <w:basedOn w:val="TableNormal"/>
    <w:uiPriority w:val="46"/>
    <w:rsid w:val="00014FB9"/>
    <w:tblPr>
      <w:tblStyleRowBandSize w:val="1"/>
      <w:tblStyleColBandSize w:val="1"/>
      <w:tblBorders>
        <w:top w:val="single" w:sz="4" w:space="0" w:color="6ABDEE" w:themeColor="accent6" w:themeTint="66"/>
        <w:left w:val="single" w:sz="4" w:space="0" w:color="6ABDEE" w:themeColor="accent6" w:themeTint="66"/>
        <w:bottom w:val="single" w:sz="4" w:space="0" w:color="6ABDEE" w:themeColor="accent6" w:themeTint="66"/>
        <w:right w:val="single" w:sz="4" w:space="0" w:color="6ABDEE" w:themeColor="accent6" w:themeTint="66"/>
        <w:insideH w:val="single" w:sz="4" w:space="0" w:color="6ABDEE" w:themeColor="accent6" w:themeTint="66"/>
        <w:insideV w:val="single" w:sz="4" w:space="0" w:color="6ABDEE" w:themeColor="accent6" w:themeTint="66"/>
      </w:tblBorders>
    </w:tblPr>
    <w:tblStylePr w:type="firstRow">
      <w:rPr>
        <w:b/>
        <w:bCs/>
      </w:rPr>
      <w:tblPr/>
      <w:tcPr>
        <w:tcBorders>
          <w:bottom w:val="single" w:sz="12" w:space="0" w:color="209CE5" w:themeColor="accent6" w:themeTint="99"/>
        </w:tcBorders>
      </w:tcPr>
    </w:tblStylePr>
    <w:tblStylePr w:type="lastRow">
      <w:rPr>
        <w:b/>
        <w:bCs/>
      </w:rPr>
      <w:tblPr/>
      <w:tcPr>
        <w:tcBorders>
          <w:top w:val="double" w:sz="2" w:space="0" w:color="209CE5" w:themeColor="accent6" w:themeTint="99"/>
        </w:tcBorders>
      </w:tcPr>
    </w:tblStylePr>
    <w:tblStylePr w:type="firstCol">
      <w:rPr>
        <w:b/>
        <w:bCs/>
      </w:rPr>
    </w:tblStylePr>
    <w:tblStylePr w:type="lastCol">
      <w:rPr>
        <w:b/>
        <w:bCs/>
      </w:rPr>
    </w:tblStylePr>
  </w:style>
  <w:style w:type="table" w:styleId="GridTable6Colorful-Accent6">
    <w:name w:val="Grid Table 6 Colorful Accent 6"/>
    <w:basedOn w:val="TableNormal"/>
    <w:uiPriority w:val="51"/>
    <w:rsid w:val="00014FB9"/>
    <w:rPr>
      <w:color w:val="072C41" w:themeColor="accent6" w:themeShade="BF"/>
    </w:rPr>
    <w:tblPr>
      <w:tblStyleRowBandSize w:val="1"/>
      <w:tblStyleColBandSize w:val="1"/>
      <w:tblBorders>
        <w:top w:val="single" w:sz="4" w:space="0" w:color="209CE5" w:themeColor="accent6" w:themeTint="99"/>
        <w:left w:val="single" w:sz="4" w:space="0" w:color="209CE5" w:themeColor="accent6" w:themeTint="99"/>
        <w:bottom w:val="single" w:sz="4" w:space="0" w:color="209CE5" w:themeColor="accent6" w:themeTint="99"/>
        <w:right w:val="single" w:sz="4" w:space="0" w:color="209CE5" w:themeColor="accent6" w:themeTint="99"/>
        <w:insideH w:val="single" w:sz="4" w:space="0" w:color="209CE5" w:themeColor="accent6" w:themeTint="99"/>
        <w:insideV w:val="single" w:sz="4" w:space="0" w:color="209CE5" w:themeColor="accent6" w:themeTint="99"/>
      </w:tblBorders>
    </w:tblPr>
    <w:tblStylePr w:type="firstRow">
      <w:rPr>
        <w:b/>
        <w:bCs/>
      </w:rPr>
      <w:tblPr/>
      <w:tcPr>
        <w:tcBorders>
          <w:bottom w:val="single" w:sz="12" w:space="0" w:color="209CE5" w:themeColor="accent6" w:themeTint="99"/>
        </w:tcBorders>
      </w:tcPr>
    </w:tblStylePr>
    <w:tblStylePr w:type="lastRow">
      <w:rPr>
        <w:b/>
        <w:bCs/>
      </w:rPr>
      <w:tblPr/>
      <w:tcPr>
        <w:tcBorders>
          <w:top w:val="double" w:sz="4" w:space="0" w:color="209CE5" w:themeColor="accent6" w:themeTint="99"/>
        </w:tcBorders>
      </w:tcPr>
    </w:tblStylePr>
    <w:tblStylePr w:type="firstCol">
      <w:rPr>
        <w:b/>
        <w:bCs/>
      </w:rPr>
    </w:tblStylePr>
    <w:tblStylePr w:type="lastCol">
      <w:rPr>
        <w:b/>
        <w:bCs/>
      </w:rPr>
    </w:tblStylePr>
    <w:tblStylePr w:type="band1Vert">
      <w:tblPr/>
      <w:tcPr>
        <w:shd w:val="clear" w:color="auto" w:fill="B4DEF6" w:themeFill="accent6" w:themeFillTint="33"/>
      </w:tcPr>
    </w:tblStylePr>
    <w:tblStylePr w:type="band1Horz">
      <w:tblPr/>
      <w:tcPr>
        <w:shd w:val="clear" w:color="auto" w:fill="B4DEF6" w:themeFill="accent6" w:themeFillTint="33"/>
      </w:tcPr>
    </w:tblStylePr>
  </w:style>
  <w:style w:type="table" w:styleId="ListTable7Colorful-Accent6">
    <w:name w:val="List Table 7 Colorful Accent 6"/>
    <w:basedOn w:val="TableNormal"/>
    <w:uiPriority w:val="52"/>
    <w:rsid w:val="00014FB9"/>
    <w:rPr>
      <w:color w:val="072C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A3B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A3B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A3B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A3B58" w:themeColor="accent6"/>
        </w:tcBorders>
        <w:shd w:val="clear" w:color="auto" w:fill="FFFFFF" w:themeFill="background1"/>
      </w:tcPr>
    </w:tblStylePr>
    <w:tblStylePr w:type="band1Vert">
      <w:tblPr/>
      <w:tcPr>
        <w:shd w:val="clear" w:color="auto" w:fill="B4DEF6" w:themeFill="accent6" w:themeFillTint="33"/>
      </w:tcPr>
    </w:tblStylePr>
    <w:tblStylePr w:type="band1Horz">
      <w:tblPr/>
      <w:tcPr>
        <w:shd w:val="clear" w:color="auto" w:fill="B4DEF6"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IntenseQuote">
    <w:name w:val="Intense Quote"/>
    <w:basedOn w:val="Normal"/>
    <w:next w:val="Normal"/>
    <w:link w:val="IntenseQuoteChar"/>
    <w:uiPriority w:val="30"/>
    <w:qFormat/>
    <w:rsid w:val="00301CA3"/>
    <w:pPr>
      <w:pBdr>
        <w:top w:val="single" w:sz="4" w:space="10" w:color="B31E3E" w:themeColor="accent1"/>
        <w:bottom w:val="single" w:sz="4" w:space="10" w:color="B31E3E" w:themeColor="accent1"/>
      </w:pBdr>
      <w:spacing w:before="360" w:after="360"/>
      <w:ind w:left="864" w:right="864"/>
      <w:jc w:val="center"/>
    </w:pPr>
    <w:rPr>
      <w:rFonts w:ascii="Rockwell" w:hAnsi="Rockwell"/>
      <w:i/>
      <w:iCs/>
      <w:color w:val="B31E3E" w:themeColor="accent1"/>
      <w:sz w:val="28"/>
      <w:szCs w:val="32"/>
    </w:rPr>
  </w:style>
  <w:style w:type="character" w:customStyle="1" w:styleId="IntenseQuoteChar">
    <w:name w:val="Intense Quote Char"/>
    <w:basedOn w:val="DefaultParagraphFont"/>
    <w:link w:val="IntenseQuote"/>
    <w:uiPriority w:val="30"/>
    <w:rsid w:val="00301CA3"/>
    <w:rPr>
      <w:rFonts w:ascii="Rockwell" w:hAnsi="Rockwell" w:cstheme="minorHAnsi"/>
      <w:i/>
      <w:iCs/>
      <w:color w:val="B31E3E" w:themeColor="accent1"/>
      <w:sz w:val="28"/>
      <w:szCs w:val="32"/>
    </w:rPr>
  </w:style>
  <w:style w:type="paragraph" w:customStyle="1" w:styleId="IntenseQuoteWhite">
    <w:name w:val="Intense Quote White"/>
    <w:basedOn w:val="IntenseQuote"/>
    <w:qFormat/>
    <w:rsid w:val="00DD0019"/>
    <w:pPr>
      <w:pBdr>
        <w:top w:val="single" w:sz="4" w:space="10" w:color="FFFFFF" w:themeColor="background1"/>
        <w:bottom w:val="single" w:sz="4" w:space="10" w:color="FFFFFF" w:themeColor="background1"/>
      </w:pBdr>
    </w:pPr>
    <w:rPr>
      <w:b/>
      <w:bCs/>
      <w:color w:val="FFFFFF" w:themeColor="background1"/>
      <w:sz w:val="32"/>
      <w:szCs w:val="36"/>
    </w:rPr>
  </w:style>
  <w:style w:type="paragraph" w:styleId="BalloonText">
    <w:name w:val="Balloon Text"/>
    <w:basedOn w:val="Normal"/>
    <w:link w:val="BalloonTextChar"/>
    <w:uiPriority w:val="99"/>
    <w:semiHidden/>
    <w:unhideWhenUsed/>
    <w:rsid w:val="007F3A3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3A35"/>
    <w:rPr>
      <w:rFonts w:ascii="Segoe UI" w:hAnsi="Segoe UI" w:cs="Segoe UI"/>
      <w:color w:val="53585F" w:themeColor="text2"/>
      <w:sz w:val="18"/>
      <w:szCs w:val="18"/>
    </w:rPr>
  </w:style>
  <w:style w:type="character" w:styleId="CommentReference">
    <w:name w:val="annotation reference"/>
    <w:basedOn w:val="DefaultParagraphFont"/>
    <w:uiPriority w:val="99"/>
    <w:semiHidden/>
    <w:unhideWhenUsed/>
    <w:rsid w:val="00E94D11"/>
    <w:rPr>
      <w:sz w:val="16"/>
      <w:szCs w:val="16"/>
    </w:rPr>
  </w:style>
  <w:style w:type="paragraph" w:styleId="CommentText">
    <w:name w:val="annotation text"/>
    <w:basedOn w:val="Normal"/>
    <w:link w:val="CommentTextChar"/>
    <w:uiPriority w:val="99"/>
    <w:unhideWhenUsed/>
    <w:rsid w:val="00E94D11"/>
    <w:pPr>
      <w:spacing w:after="160"/>
    </w:pPr>
    <w:rPr>
      <w:rFonts w:eastAsiaTheme="minorHAnsi" w:cstheme="minorBidi"/>
      <w:color w:val="auto"/>
      <w:sz w:val="20"/>
      <w:szCs w:val="20"/>
    </w:rPr>
  </w:style>
  <w:style w:type="character" w:customStyle="1" w:styleId="CommentTextChar">
    <w:name w:val="Comment Text Char"/>
    <w:basedOn w:val="DefaultParagraphFont"/>
    <w:link w:val="CommentText"/>
    <w:uiPriority w:val="99"/>
    <w:rsid w:val="00E94D11"/>
    <w:rPr>
      <w:rFonts w:asciiTheme="minorHAnsi" w:eastAsiaTheme="minorHAnsi" w:hAnsiTheme="minorHAnsi" w:cstheme="minorBidi"/>
    </w:rPr>
  </w:style>
  <w:style w:type="paragraph" w:styleId="FootnoteText">
    <w:name w:val="footnote text"/>
    <w:basedOn w:val="Normal"/>
    <w:link w:val="FootnoteTextChar"/>
    <w:uiPriority w:val="99"/>
    <w:semiHidden/>
    <w:unhideWhenUsed/>
    <w:rsid w:val="00AB133C"/>
    <w:rPr>
      <w:rFonts w:eastAsiaTheme="minorHAnsi" w:cstheme="minorBidi"/>
      <w:color w:val="auto"/>
      <w:sz w:val="20"/>
      <w:szCs w:val="20"/>
    </w:rPr>
  </w:style>
  <w:style w:type="character" w:customStyle="1" w:styleId="FootnoteTextChar">
    <w:name w:val="Footnote Text Char"/>
    <w:basedOn w:val="DefaultParagraphFont"/>
    <w:link w:val="FootnoteText"/>
    <w:uiPriority w:val="99"/>
    <w:semiHidden/>
    <w:rsid w:val="00AB133C"/>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AB133C"/>
    <w:rPr>
      <w:vertAlign w:val="superscript"/>
    </w:rPr>
  </w:style>
  <w:style w:type="paragraph" w:styleId="ListParagraph">
    <w:name w:val="List Paragraph"/>
    <w:basedOn w:val="Normal"/>
    <w:uiPriority w:val="34"/>
    <w:qFormat/>
    <w:rsid w:val="00956DB7"/>
    <w:pPr>
      <w:spacing w:after="160" w:line="259" w:lineRule="auto"/>
      <w:ind w:left="720"/>
      <w:contextualSpacing/>
    </w:pPr>
    <w:rPr>
      <w:rFonts w:eastAsiaTheme="minorHAnsi" w:cstheme="minorBidi"/>
      <w:color w:val="auto"/>
      <w:szCs w:val="22"/>
    </w:rPr>
  </w:style>
  <w:style w:type="paragraph" w:customStyle="1" w:styleId="BodyText1">
    <w:name w:val="Body Text1"/>
    <w:basedOn w:val="Normal"/>
    <w:link w:val="BodytextChar"/>
    <w:qFormat/>
    <w:rsid w:val="00852256"/>
    <w:pPr>
      <w:spacing w:before="60" w:line="240" w:lineRule="exact"/>
    </w:pPr>
    <w:rPr>
      <w:rFonts w:ascii="Arial" w:eastAsia="MS Mincho" w:hAnsi="Arial" w:cs="Arial"/>
      <w:color w:val="auto"/>
      <w:sz w:val="20"/>
      <w:szCs w:val="20"/>
      <w:lang w:eastAsia="ja-JP"/>
    </w:rPr>
  </w:style>
  <w:style w:type="character" w:customStyle="1" w:styleId="BodytextChar">
    <w:name w:val="Body text Char"/>
    <w:link w:val="BodyText1"/>
    <w:rsid w:val="00852256"/>
    <w:rPr>
      <w:rFonts w:ascii="Arial" w:eastAsia="MS Mincho" w:hAnsi="Arial" w:cs="Arial"/>
      <w:lang w:eastAsia="ja-JP"/>
    </w:rPr>
  </w:style>
  <w:style w:type="character" w:styleId="Emphasis">
    <w:name w:val="Emphasis"/>
    <w:basedOn w:val="DefaultParagraphFont"/>
    <w:uiPriority w:val="20"/>
    <w:qFormat/>
    <w:rsid w:val="00C479FF"/>
    <w:rPr>
      <w:i/>
      <w:iCs/>
    </w:rPr>
  </w:style>
  <w:style w:type="paragraph" w:styleId="TOC4">
    <w:name w:val="toc 4"/>
    <w:basedOn w:val="Normal"/>
    <w:next w:val="Normal"/>
    <w:autoRedefine/>
    <w:uiPriority w:val="39"/>
    <w:unhideWhenUsed/>
    <w:rsid w:val="00A23A94"/>
    <w:pPr>
      <w:ind w:left="660"/>
    </w:pPr>
    <w:rPr>
      <w:sz w:val="18"/>
      <w:szCs w:val="18"/>
    </w:rPr>
  </w:style>
  <w:style w:type="paragraph" w:styleId="TOC5">
    <w:name w:val="toc 5"/>
    <w:basedOn w:val="Normal"/>
    <w:next w:val="Normal"/>
    <w:autoRedefine/>
    <w:uiPriority w:val="39"/>
    <w:unhideWhenUsed/>
    <w:rsid w:val="00A23A94"/>
    <w:pPr>
      <w:ind w:left="880"/>
    </w:pPr>
    <w:rPr>
      <w:sz w:val="18"/>
      <w:szCs w:val="18"/>
    </w:rPr>
  </w:style>
  <w:style w:type="paragraph" w:styleId="TOC6">
    <w:name w:val="toc 6"/>
    <w:basedOn w:val="Normal"/>
    <w:next w:val="Normal"/>
    <w:autoRedefine/>
    <w:uiPriority w:val="39"/>
    <w:unhideWhenUsed/>
    <w:rsid w:val="00A23A94"/>
    <w:pPr>
      <w:ind w:left="1100"/>
    </w:pPr>
    <w:rPr>
      <w:sz w:val="18"/>
      <w:szCs w:val="18"/>
    </w:rPr>
  </w:style>
  <w:style w:type="paragraph" w:styleId="TOC7">
    <w:name w:val="toc 7"/>
    <w:basedOn w:val="Normal"/>
    <w:next w:val="Normal"/>
    <w:autoRedefine/>
    <w:uiPriority w:val="39"/>
    <w:unhideWhenUsed/>
    <w:rsid w:val="00A23A94"/>
    <w:pPr>
      <w:ind w:left="1320"/>
    </w:pPr>
    <w:rPr>
      <w:sz w:val="18"/>
      <w:szCs w:val="18"/>
    </w:rPr>
  </w:style>
  <w:style w:type="paragraph" w:styleId="TOC8">
    <w:name w:val="toc 8"/>
    <w:basedOn w:val="Normal"/>
    <w:next w:val="Normal"/>
    <w:autoRedefine/>
    <w:uiPriority w:val="39"/>
    <w:unhideWhenUsed/>
    <w:rsid w:val="00A23A94"/>
    <w:pPr>
      <w:ind w:left="1540"/>
    </w:pPr>
    <w:rPr>
      <w:sz w:val="18"/>
      <w:szCs w:val="18"/>
    </w:rPr>
  </w:style>
  <w:style w:type="paragraph" w:styleId="TOC9">
    <w:name w:val="toc 9"/>
    <w:basedOn w:val="Normal"/>
    <w:next w:val="Normal"/>
    <w:autoRedefine/>
    <w:uiPriority w:val="39"/>
    <w:unhideWhenUsed/>
    <w:rsid w:val="00A23A94"/>
    <w:pPr>
      <w:ind w:left="1760"/>
    </w:pPr>
    <w:rPr>
      <w:sz w:val="18"/>
      <w:szCs w:val="18"/>
    </w:rPr>
  </w:style>
  <w:style w:type="paragraph" w:styleId="CommentSubject">
    <w:name w:val="annotation subject"/>
    <w:basedOn w:val="CommentText"/>
    <w:next w:val="CommentText"/>
    <w:link w:val="CommentSubjectChar"/>
    <w:uiPriority w:val="99"/>
    <w:semiHidden/>
    <w:unhideWhenUsed/>
    <w:rsid w:val="003E5ADF"/>
    <w:pPr>
      <w:spacing w:after="120"/>
    </w:pPr>
    <w:rPr>
      <w:rFonts w:eastAsia="Century Gothic" w:cstheme="minorHAnsi"/>
      <w:b/>
      <w:bCs/>
      <w:color w:val="53585F" w:themeColor="text2"/>
    </w:rPr>
  </w:style>
  <w:style w:type="character" w:customStyle="1" w:styleId="CommentSubjectChar">
    <w:name w:val="Comment Subject Char"/>
    <w:basedOn w:val="CommentTextChar"/>
    <w:link w:val="CommentSubject"/>
    <w:uiPriority w:val="99"/>
    <w:semiHidden/>
    <w:rsid w:val="003E5ADF"/>
    <w:rPr>
      <w:rFonts w:asciiTheme="minorHAnsi" w:eastAsiaTheme="minorHAnsi" w:hAnsiTheme="minorHAnsi" w:cstheme="minorHAnsi"/>
      <w:b/>
      <w:bCs/>
      <w:color w:val="53585F" w:themeColor="text2"/>
    </w:rPr>
  </w:style>
  <w:style w:type="paragraph" w:customStyle="1" w:styleId="msonormal0">
    <w:name w:val="msonormal"/>
    <w:basedOn w:val="Normal"/>
    <w:rsid w:val="001C2364"/>
    <w:pPr>
      <w:spacing w:before="100" w:beforeAutospacing="1" w:after="100" w:afterAutospacing="1"/>
    </w:pPr>
    <w:rPr>
      <w:rFonts w:ascii="Times New Roman" w:eastAsia="Times New Roman" w:hAnsi="Times New Roman" w:cs="Times New Roman"/>
      <w:color w:val="auto"/>
      <w:sz w:val="24"/>
    </w:rPr>
  </w:style>
  <w:style w:type="paragraph" w:customStyle="1" w:styleId="xl65">
    <w:name w:val="xl65"/>
    <w:basedOn w:val="Normal"/>
    <w:rsid w:val="001C2364"/>
    <w:pPr>
      <w:spacing w:before="100" w:beforeAutospacing="1" w:after="100" w:afterAutospacing="1"/>
      <w:textAlignment w:val="top"/>
    </w:pPr>
    <w:rPr>
      <w:rFonts w:ascii="Arial" w:eastAsia="Times New Roman" w:hAnsi="Arial" w:cs="Arial"/>
      <w:color w:val="auto"/>
      <w:sz w:val="20"/>
      <w:szCs w:val="20"/>
    </w:rPr>
  </w:style>
  <w:style w:type="paragraph" w:customStyle="1" w:styleId="xl66">
    <w:name w:val="xl66"/>
    <w:basedOn w:val="Normal"/>
    <w:rsid w:val="001C2364"/>
    <w:pPr>
      <w:spacing w:before="100" w:beforeAutospacing="1" w:after="100" w:afterAutospacing="1"/>
      <w:textAlignment w:val="top"/>
    </w:pPr>
    <w:rPr>
      <w:rFonts w:ascii="Arial" w:eastAsia="Times New Roman" w:hAnsi="Arial" w:cs="Arial"/>
      <w:color w:val="0563C1"/>
      <w:sz w:val="20"/>
      <w:szCs w:val="20"/>
      <w:u w:val="single"/>
    </w:rPr>
  </w:style>
  <w:style w:type="paragraph" w:customStyle="1" w:styleId="xl67">
    <w:name w:val="xl67"/>
    <w:basedOn w:val="Normal"/>
    <w:rsid w:val="001C2364"/>
    <w:pPr>
      <w:spacing w:before="100" w:beforeAutospacing="1" w:after="100" w:afterAutospacing="1"/>
      <w:textAlignment w:val="top"/>
    </w:pPr>
    <w:rPr>
      <w:rFonts w:ascii="Times New Roman" w:eastAsia="Times New Roman" w:hAnsi="Times New Roman" w:cs="Times New Roman"/>
      <w:color w:val="auto"/>
      <w:sz w:val="24"/>
    </w:rPr>
  </w:style>
  <w:style w:type="paragraph" w:customStyle="1" w:styleId="xl68">
    <w:name w:val="xl68"/>
    <w:basedOn w:val="Normal"/>
    <w:rsid w:val="001C2364"/>
    <w:pPr>
      <w:spacing w:before="100" w:beforeAutospacing="1" w:after="100" w:afterAutospacing="1"/>
      <w:textAlignment w:val="top"/>
    </w:pPr>
    <w:rPr>
      <w:rFonts w:ascii="Arial" w:eastAsia="Times New Roman" w:hAnsi="Arial" w:cs="Arial"/>
      <w:color w:val="0563C1"/>
      <w:sz w:val="20"/>
      <w:szCs w:val="20"/>
      <w:u w:val="single"/>
    </w:rPr>
  </w:style>
  <w:style w:type="paragraph" w:customStyle="1" w:styleId="xl69">
    <w:name w:val="xl69"/>
    <w:basedOn w:val="Normal"/>
    <w:rsid w:val="0041175C"/>
    <w:pPr>
      <w:spacing w:before="100" w:beforeAutospacing="1" w:after="100" w:afterAutospacing="1"/>
      <w:jc w:val="right"/>
      <w:textAlignment w:val="top"/>
    </w:pPr>
    <w:rPr>
      <w:rFonts w:ascii="Arial" w:eastAsia="Times New Roman" w:hAnsi="Arial" w:cs="Arial"/>
      <w:color w:val="auto"/>
      <w:sz w:val="20"/>
      <w:szCs w:val="20"/>
    </w:rPr>
  </w:style>
  <w:style w:type="paragraph" w:customStyle="1" w:styleId="xl70">
    <w:name w:val="xl70"/>
    <w:basedOn w:val="Normal"/>
    <w:rsid w:val="0041175C"/>
    <w:pPr>
      <w:spacing w:before="100" w:beforeAutospacing="1" w:after="100" w:afterAutospacing="1"/>
      <w:textAlignment w:val="top"/>
    </w:pPr>
    <w:rPr>
      <w:rFonts w:ascii="Arial" w:eastAsia="Times New Roman" w:hAnsi="Arial" w:cs="Arial"/>
      <w:color w:val="auto"/>
      <w:sz w:val="20"/>
      <w:szCs w:val="20"/>
    </w:rPr>
  </w:style>
  <w:style w:type="paragraph" w:customStyle="1" w:styleId="xl71">
    <w:name w:val="xl71"/>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72">
    <w:name w:val="xl72"/>
    <w:basedOn w:val="Normal"/>
    <w:rsid w:val="0041175C"/>
    <w:pPr>
      <w:spacing w:before="100" w:beforeAutospacing="1" w:after="100" w:afterAutospacing="1"/>
      <w:textAlignment w:val="top"/>
    </w:pPr>
    <w:rPr>
      <w:rFonts w:ascii="Arial" w:eastAsia="Times New Roman" w:hAnsi="Arial" w:cs="Arial"/>
      <w:color w:val="auto"/>
      <w:sz w:val="20"/>
      <w:szCs w:val="20"/>
    </w:rPr>
  </w:style>
  <w:style w:type="paragraph" w:customStyle="1" w:styleId="xl73">
    <w:name w:val="xl73"/>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74">
    <w:name w:val="xl74"/>
    <w:basedOn w:val="Normal"/>
    <w:rsid w:val="0041175C"/>
    <w:pPr>
      <w:spacing w:before="100" w:beforeAutospacing="1" w:after="100" w:afterAutospacing="1"/>
      <w:jc w:val="right"/>
      <w:textAlignment w:val="top"/>
    </w:pPr>
    <w:rPr>
      <w:rFonts w:ascii="Arial" w:eastAsia="Times New Roman" w:hAnsi="Arial" w:cs="Arial"/>
      <w:b/>
      <w:bCs/>
      <w:color w:val="auto"/>
      <w:sz w:val="20"/>
      <w:szCs w:val="20"/>
    </w:rPr>
  </w:style>
  <w:style w:type="paragraph" w:customStyle="1" w:styleId="xl75">
    <w:name w:val="xl75"/>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76">
    <w:name w:val="xl76"/>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77">
    <w:name w:val="xl77"/>
    <w:basedOn w:val="Normal"/>
    <w:rsid w:val="0041175C"/>
    <w:pPr>
      <w:spacing w:before="100" w:beforeAutospacing="1" w:after="100" w:afterAutospacing="1"/>
      <w:jc w:val="center"/>
      <w:textAlignment w:val="top"/>
    </w:pPr>
    <w:rPr>
      <w:rFonts w:ascii="Arial" w:eastAsia="Times New Roman" w:hAnsi="Arial" w:cs="Arial"/>
      <w:color w:val="auto"/>
      <w:sz w:val="20"/>
      <w:szCs w:val="20"/>
    </w:rPr>
  </w:style>
  <w:style w:type="paragraph" w:customStyle="1" w:styleId="xl78">
    <w:name w:val="xl78"/>
    <w:basedOn w:val="Normal"/>
    <w:rsid w:val="0041175C"/>
    <w:pPr>
      <w:spacing w:before="100" w:beforeAutospacing="1" w:after="100" w:afterAutospacing="1"/>
      <w:jc w:val="center"/>
      <w:textAlignment w:val="top"/>
    </w:pPr>
    <w:rPr>
      <w:rFonts w:ascii="Arial" w:eastAsia="Times New Roman" w:hAnsi="Arial" w:cs="Arial"/>
      <w:color w:val="auto"/>
      <w:sz w:val="20"/>
      <w:szCs w:val="20"/>
    </w:rPr>
  </w:style>
  <w:style w:type="paragraph" w:customStyle="1" w:styleId="xl79">
    <w:name w:val="xl79"/>
    <w:basedOn w:val="Normal"/>
    <w:rsid w:val="0041175C"/>
    <w:pPr>
      <w:spacing w:before="100" w:beforeAutospacing="1" w:after="100" w:afterAutospacing="1"/>
      <w:jc w:val="center"/>
      <w:textAlignment w:val="top"/>
    </w:pPr>
    <w:rPr>
      <w:rFonts w:ascii="Arial" w:eastAsia="Times New Roman" w:hAnsi="Arial" w:cs="Arial"/>
      <w:color w:val="auto"/>
      <w:sz w:val="20"/>
      <w:szCs w:val="20"/>
    </w:rPr>
  </w:style>
  <w:style w:type="paragraph" w:customStyle="1" w:styleId="xl80">
    <w:name w:val="xl80"/>
    <w:basedOn w:val="Normal"/>
    <w:rsid w:val="0041175C"/>
    <w:pPr>
      <w:spacing w:before="100" w:beforeAutospacing="1" w:after="100" w:afterAutospacing="1"/>
      <w:textAlignment w:val="top"/>
    </w:pPr>
    <w:rPr>
      <w:rFonts w:ascii="Arial" w:eastAsia="Times New Roman" w:hAnsi="Arial" w:cs="Arial"/>
      <w:b/>
      <w:bCs/>
      <w:color w:val="auto"/>
      <w:sz w:val="20"/>
      <w:szCs w:val="20"/>
    </w:rPr>
  </w:style>
  <w:style w:type="paragraph" w:customStyle="1" w:styleId="xl81">
    <w:name w:val="xl81"/>
    <w:basedOn w:val="Normal"/>
    <w:rsid w:val="0041175C"/>
    <w:pPr>
      <w:spacing w:before="100" w:beforeAutospacing="1" w:after="100" w:afterAutospacing="1"/>
      <w:jc w:val="center"/>
      <w:textAlignment w:val="top"/>
    </w:pPr>
    <w:rPr>
      <w:rFonts w:ascii="Arial" w:eastAsia="Times New Roman" w:hAnsi="Arial" w:cs="Arial"/>
      <w:b/>
      <w:bCs/>
      <w:color w:val="auto"/>
      <w:sz w:val="20"/>
      <w:szCs w:val="20"/>
    </w:rPr>
  </w:style>
  <w:style w:type="paragraph" w:customStyle="1" w:styleId="xl82">
    <w:name w:val="xl82"/>
    <w:basedOn w:val="Normal"/>
    <w:rsid w:val="0041175C"/>
    <w:pPr>
      <w:spacing w:before="100" w:beforeAutospacing="1" w:after="100" w:afterAutospacing="1"/>
      <w:textAlignment w:val="top"/>
    </w:pPr>
    <w:rPr>
      <w:rFonts w:ascii="Arial" w:eastAsia="Times New Roman" w:hAnsi="Arial" w:cs="Arial"/>
      <w:color w:val="auto"/>
      <w:sz w:val="20"/>
      <w:szCs w:val="20"/>
    </w:rPr>
  </w:style>
  <w:style w:type="paragraph" w:customStyle="1" w:styleId="xl83">
    <w:name w:val="xl83"/>
    <w:basedOn w:val="Normal"/>
    <w:rsid w:val="0041175C"/>
    <w:pPr>
      <w:spacing w:before="100" w:beforeAutospacing="1" w:after="100" w:afterAutospacing="1"/>
      <w:textAlignment w:val="top"/>
    </w:pPr>
    <w:rPr>
      <w:rFonts w:ascii="Arial" w:eastAsia="Times New Roman" w:hAnsi="Arial" w:cs="Arial"/>
      <w:color w:val="auto"/>
      <w:sz w:val="20"/>
      <w:szCs w:val="20"/>
    </w:rPr>
  </w:style>
  <w:style w:type="table" w:styleId="PlainTable4">
    <w:name w:val="Plain Table 4"/>
    <w:basedOn w:val="TableNormal"/>
    <w:uiPriority w:val="44"/>
    <w:rsid w:val="00165A5B"/>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lainLink1">
    <w:name w:val="Plain Link 1"/>
    <w:basedOn w:val="Normal"/>
    <w:link w:val="PlainLink1Char"/>
    <w:qFormat/>
    <w:rsid w:val="002603D6"/>
    <w:pPr>
      <w:spacing w:after="40"/>
      <w:ind w:left="317" w:right="-288"/>
    </w:pPr>
    <w:rPr>
      <w:rFonts w:ascii="Arial" w:hAnsi="Arial"/>
    </w:rPr>
  </w:style>
  <w:style w:type="paragraph" w:customStyle="1" w:styleId="PlainLink2">
    <w:name w:val="Plain Link 2"/>
    <w:basedOn w:val="PlainLink1"/>
    <w:link w:val="PlainLink2Char"/>
    <w:qFormat/>
    <w:rsid w:val="00326F7A"/>
    <w:rPr>
      <w:bCs/>
    </w:rPr>
  </w:style>
  <w:style w:type="character" w:customStyle="1" w:styleId="PlainLink1Char">
    <w:name w:val="Plain Link 1 Char"/>
    <w:basedOn w:val="DefaultParagraphFont"/>
    <w:link w:val="PlainLink1"/>
    <w:rsid w:val="002603D6"/>
    <w:rPr>
      <w:rFonts w:ascii="Arial" w:hAnsi="Arial" w:cstheme="minorHAnsi"/>
      <w:color w:val="53585F" w:themeColor="text2"/>
      <w:sz w:val="22"/>
      <w:szCs w:val="24"/>
    </w:rPr>
  </w:style>
  <w:style w:type="character" w:customStyle="1" w:styleId="PlainLink2Char">
    <w:name w:val="Plain Link 2 Char"/>
    <w:basedOn w:val="PlainLink1Char"/>
    <w:link w:val="PlainLink2"/>
    <w:rsid w:val="00326F7A"/>
    <w:rPr>
      <w:rFonts w:ascii="Arial" w:hAnsi="Arial" w:cstheme="minorHAnsi"/>
      <w:bCs/>
      <w:color w:val="53585F" w:themeColor="text2"/>
      <w:sz w:val="18"/>
      <w:szCs w:val="24"/>
    </w:rPr>
  </w:style>
  <w:style w:type="paragraph" w:styleId="TOCHeading">
    <w:name w:val="TOC Heading"/>
    <w:basedOn w:val="Heading1"/>
    <w:next w:val="Normal"/>
    <w:uiPriority w:val="39"/>
    <w:unhideWhenUsed/>
    <w:qFormat/>
    <w:rsid w:val="009129BA"/>
    <w:pPr>
      <w:keepNext/>
      <w:keepLines/>
      <w:spacing w:before="240" w:after="0" w:line="259" w:lineRule="auto"/>
      <w:outlineLvl w:val="9"/>
    </w:pPr>
    <w:rPr>
      <w:rFonts w:asciiTheme="majorHAnsi" w:eastAsiaTheme="majorEastAsia" w:hAnsiTheme="majorHAnsi" w:cstheme="majorBidi"/>
      <w:color w:val="85162E" w:themeColor="accent1" w:themeShade="BF"/>
      <w:szCs w:val="32"/>
    </w:rPr>
  </w:style>
  <w:style w:type="paragraph" w:customStyle="1" w:styleId="Heading15">
    <w:name w:val="Heading 1.5"/>
    <w:basedOn w:val="Normal"/>
    <w:next w:val="Normal"/>
    <w:link w:val="Heading15Char"/>
    <w:qFormat/>
    <w:rsid w:val="005A5470"/>
    <w:pPr>
      <w:keepNext/>
      <w:spacing w:before="240" w:after="120"/>
      <w:outlineLvl w:val="1"/>
    </w:pPr>
    <w:rPr>
      <w:rFonts w:ascii="Arial" w:hAnsi="Arial"/>
      <w:b/>
      <w:color w:val="B31D3F"/>
    </w:rPr>
  </w:style>
  <w:style w:type="character" w:customStyle="1" w:styleId="Heading15Char">
    <w:name w:val="Heading 1.5 Char"/>
    <w:basedOn w:val="Heading2Char"/>
    <w:link w:val="Heading15"/>
    <w:rsid w:val="005A5470"/>
    <w:rPr>
      <w:rFonts w:ascii="Arial" w:eastAsiaTheme="minorHAnsi" w:hAnsi="Arial" w:cstheme="minorHAnsi"/>
      <w:b w:val="0"/>
      <w:noProof/>
      <w:color w:val="B31D3F"/>
      <w:kern w:val="2"/>
      <w:sz w:val="22"/>
      <w:szCs w:val="24"/>
      <w14:ligatures w14:val="standardContextual"/>
    </w:rPr>
  </w:style>
  <w:style w:type="character" w:styleId="UnresolvedMention">
    <w:name w:val="Unresolved Mention"/>
    <w:basedOn w:val="DefaultParagraphFont"/>
    <w:uiPriority w:val="99"/>
    <w:semiHidden/>
    <w:unhideWhenUsed/>
    <w:rsid w:val="00E22E7D"/>
    <w:rPr>
      <w:color w:val="605E5C"/>
      <w:shd w:val="clear" w:color="auto" w:fill="E1DFDD"/>
    </w:rPr>
  </w:style>
  <w:style w:type="paragraph" w:styleId="Revision">
    <w:name w:val="Revision"/>
    <w:hidden/>
    <w:uiPriority w:val="99"/>
    <w:semiHidden/>
    <w:rsid w:val="00036F86"/>
    <w:rPr>
      <w:rFonts w:asciiTheme="minorHAnsi" w:hAnsiTheme="minorHAnsi" w:cstheme="minorHAnsi"/>
      <w:color w:val="53585F" w:themeColor="text2"/>
      <w:sz w:val="22"/>
      <w:szCs w:val="24"/>
    </w:rPr>
  </w:style>
  <w:style w:type="character" w:customStyle="1" w:styleId="ui-provider">
    <w:name w:val="ui-provider"/>
    <w:basedOn w:val="DefaultParagraphFont"/>
    <w:rsid w:val="00414E9D"/>
  </w:style>
  <w:style w:type="paragraph" w:customStyle="1" w:styleId="DS">
    <w:name w:val="DS"/>
    <w:basedOn w:val="BodyText"/>
    <w:qFormat/>
    <w:rsid w:val="00AB4132"/>
    <w:pPr>
      <w:keepNext/>
      <w:autoSpaceDE w:val="0"/>
      <w:autoSpaceDN w:val="0"/>
      <w:spacing w:before="240" w:line="276" w:lineRule="auto"/>
      <w:ind w:left="144"/>
    </w:pPr>
    <w:rPr>
      <w:rFonts w:ascii="Arial" w:eastAsia="Calibri" w:hAnsi="Arial" w:cs="Arial"/>
      <w:noProof/>
      <w:color w:val="FFFFFF" w:themeColor="background1"/>
      <w:szCs w:val="22"/>
    </w:rPr>
  </w:style>
  <w:style w:type="paragraph" w:styleId="BodyText">
    <w:name w:val="Body Text"/>
    <w:basedOn w:val="Normal"/>
    <w:link w:val="BodyTextChar0"/>
    <w:uiPriority w:val="99"/>
    <w:semiHidden/>
    <w:unhideWhenUsed/>
    <w:rsid w:val="00AB4132"/>
    <w:pPr>
      <w:spacing w:after="120"/>
    </w:pPr>
  </w:style>
  <w:style w:type="character" w:customStyle="1" w:styleId="BodyTextChar0">
    <w:name w:val="Body Text Char"/>
    <w:basedOn w:val="DefaultParagraphFont"/>
    <w:link w:val="BodyText"/>
    <w:uiPriority w:val="99"/>
    <w:semiHidden/>
    <w:rsid w:val="00AB4132"/>
    <w:rPr>
      <w:rFonts w:asciiTheme="minorHAnsi" w:hAnsiTheme="minorHAnsi" w:cstheme="minorHAnsi"/>
      <w:color w:val="53585F" w:themeColor="text2"/>
      <w:sz w:val="22"/>
      <w:szCs w:val="24"/>
    </w:rPr>
  </w:style>
  <w:style w:type="paragraph" w:customStyle="1" w:styleId="EEEH">
    <w:name w:val="EEEH"/>
    <w:basedOn w:val="Normal"/>
    <w:link w:val="EEEHChar"/>
    <w:qFormat/>
    <w:rsid w:val="00AB4132"/>
    <w:pPr>
      <w:keepNext/>
      <w:ind w:left="360"/>
    </w:pPr>
    <w:rPr>
      <w:rFonts w:ascii="Arial" w:eastAsiaTheme="minorHAnsi" w:hAnsi="Arial" w:cs="Arial"/>
      <w:b/>
      <w:bCs/>
      <w:noProof/>
      <w:color w:val="C00000"/>
      <w:kern w:val="2"/>
      <w:szCs w:val="22"/>
      <w14:ligatures w14:val="standardContextual"/>
    </w:rPr>
  </w:style>
  <w:style w:type="character" w:customStyle="1" w:styleId="EEEHChar">
    <w:name w:val="EEEH Char"/>
    <w:basedOn w:val="DefaultParagraphFont"/>
    <w:link w:val="EEEH"/>
    <w:rsid w:val="00AB4132"/>
    <w:rPr>
      <w:rFonts w:ascii="Arial" w:eastAsiaTheme="minorHAnsi" w:hAnsi="Arial" w:cs="Arial"/>
      <w:b/>
      <w:bCs/>
      <w:noProof/>
      <w:color w:val="C00000"/>
      <w:kern w:val="2"/>
      <w:sz w:val="22"/>
      <w:szCs w:val="22"/>
      <w14:ligatures w14:val="standardContextual"/>
    </w:rPr>
  </w:style>
  <w:style w:type="paragraph" w:customStyle="1" w:styleId="EEEL">
    <w:name w:val="EEEL"/>
    <w:basedOn w:val="ListParagraph"/>
    <w:link w:val="EEELChar"/>
    <w:qFormat/>
    <w:rsid w:val="00AB4132"/>
    <w:pPr>
      <w:numPr>
        <w:numId w:val="5"/>
      </w:numPr>
      <w:spacing w:line="278" w:lineRule="auto"/>
    </w:pPr>
    <w:rPr>
      <w:noProof/>
      <w:kern w:val="2"/>
      <w:szCs w:val="24"/>
      <w14:ligatures w14:val="standardContextual"/>
    </w:rPr>
  </w:style>
  <w:style w:type="character" w:customStyle="1" w:styleId="EEELChar">
    <w:name w:val="EEEL Char"/>
    <w:basedOn w:val="DefaultParagraphFont"/>
    <w:link w:val="EEEL"/>
    <w:rsid w:val="00AB4132"/>
    <w:rPr>
      <w:rFonts w:asciiTheme="minorHAnsi" w:eastAsiaTheme="minorHAnsi" w:hAnsiTheme="minorHAnsi" w:cstheme="minorBidi"/>
      <w:noProof/>
      <w:kern w:val="2"/>
      <w:sz w:val="22"/>
      <w:szCs w:val="24"/>
      <w14:ligatures w14:val="standardContextual"/>
    </w:rPr>
  </w:style>
  <w:style w:type="paragraph" w:customStyle="1" w:styleId="EEEP">
    <w:name w:val="EEEP"/>
    <w:basedOn w:val="Normal"/>
    <w:link w:val="EEEPChar"/>
    <w:qFormat/>
    <w:rsid w:val="00AB4132"/>
    <w:pPr>
      <w:keepNext/>
      <w:spacing w:before="120" w:after="120" w:line="278" w:lineRule="auto"/>
      <w:ind w:left="288"/>
    </w:pPr>
    <w:rPr>
      <w:rFonts w:eastAsiaTheme="minorHAnsi" w:cstheme="minorBidi"/>
      <w:b/>
      <w:noProof/>
      <w:color w:val="auto"/>
      <w:kern w:val="2"/>
      <w14:ligatures w14:val="standardContextual"/>
    </w:rPr>
  </w:style>
  <w:style w:type="character" w:customStyle="1" w:styleId="EEEPChar">
    <w:name w:val="EEEP Char"/>
    <w:basedOn w:val="DefaultParagraphFont"/>
    <w:link w:val="EEEP"/>
    <w:rsid w:val="00AB4132"/>
    <w:rPr>
      <w:rFonts w:asciiTheme="minorHAnsi" w:eastAsiaTheme="minorHAnsi" w:hAnsiTheme="minorHAnsi" w:cstheme="minorBidi"/>
      <w:b/>
      <w:noProof/>
      <w:kern w:val="2"/>
      <w:sz w:val="22"/>
      <w:szCs w:val="24"/>
      <w14:ligatures w14:val="standardContextual"/>
    </w:rPr>
  </w:style>
  <w:style w:type="paragraph" w:customStyle="1" w:styleId="MatLvl">
    <w:name w:val="Mat Lvl"/>
    <w:basedOn w:val="BodyText"/>
    <w:qFormat/>
    <w:rsid w:val="00AB4132"/>
    <w:pPr>
      <w:tabs>
        <w:tab w:val="right" w:pos="1872"/>
        <w:tab w:val="left" w:pos="2016"/>
      </w:tabs>
      <w:autoSpaceDE w:val="0"/>
      <w:autoSpaceDN w:val="0"/>
      <w:spacing w:line="276" w:lineRule="auto"/>
      <w:ind w:left="2016" w:hanging="2016"/>
    </w:pPr>
    <w:rPr>
      <w:rFonts w:ascii="Arial" w:eastAsia="Calibri" w:hAnsi="Arial" w:cs="Arial"/>
      <w:noProof/>
      <w:color w:val="404040"/>
      <w:szCs w:val="22"/>
    </w:rPr>
  </w:style>
  <w:style w:type="character" w:customStyle="1" w:styleId="CRIRed">
    <w:name w:val="CRI Red"/>
    <w:basedOn w:val="DefaultParagraphFont"/>
    <w:uiPriority w:val="1"/>
    <w:qFormat/>
    <w:rsid w:val="00A94D0E"/>
    <w:rPr>
      <w:b/>
      <w:bCs/>
      <w:color w:val="B31E3E" w:themeColor="accent1"/>
    </w:rPr>
  </w:style>
  <w:style w:type="table" w:customStyle="1" w:styleId="JGTable1">
    <w:name w:val="JG Table 1"/>
    <w:basedOn w:val="TableNormal"/>
    <w:uiPriority w:val="99"/>
    <w:rsid w:val="008E71A9"/>
    <w:rPr>
      <w:rFonts w:asciiTheme="minorHAnsi" w:eastAsiaTheme="minorHAnsi" w:hAnsiTheme="minorHAnsi" w:cstheme="minorBidi"/>
      <w:kern w:val="2"/>
      <w:sz w:val="24"/>
      <w:szCs w:val="24"/>
      <w14:ligatures w14:val="standardContextual"/>
    </w:rPr>
    <w:tblPr/>
    <w:tblStylePr w:type="firstRow">
      <w:tblPr/>
      <w:tcPr>
        <w:shd w:val="clear" w:color="auto" w:fill="1B567B" w:themeFill="accent5" w:themeFillShade="BF"/>
      </w:tcPr>
    </w:tblStylePr>
  </w:style>
  <w:style w:type="character" w:customStyle="1" w:styleId="Heading5Char">
    <w:name w:val="Heading 5 Char"/>
    <w:basedOn w:val="DefaultParagraphFont"/>
    <w:link w:val="Heading5"/>
    <w:uiPriority w:val="9"/>
    <w:semiHidden/>
    <w:rsid w:val="00D2460A"/>
    <w:rPr>
      <w:rFonts w:ascii="Arial" w:eastAsiaTheme="majorEastAsia" w:hAnsi="Arial" w:cstheme="majorBidi"/>
      <w:noProof/>
      <w:color w:val="85162E" w:themeColor="accent1" w:themeShade="BF"/>
      <w:kern w:val="2"/>
      <w:sz w:val="22"/>
      <w:szCs w:val="22"/>
      <w14:ligatures w14:val="standardContextual"/>
    </w:rPr>
  </w:style>
  <w:style w:type="character" w:customStyle="1" w:styleId="Heading6Char">
    <w:name w:val="Heading 6 Char"/>
    <w:basedOn w:val="DefaultParagraphFont"/>
    <w:link w:val="Heading6"/>
    <w:uiPriority w:val="9"/>
    <w:semiHidden/>
    <w:rsid w:val="00D2460A"/>
    <w:rPr>
      <w:rFonts w:ascii="Arial" w:eastAsiaTheme="majorEastAsia" w:hAnsi="Arial" w:cstheme="majorBidi"/>
      <w:i/>
      <w:iCs/>
      <w:noProof/>
      <w:color w:val="595959" w:themeColor="text1" w:themeTint="A6"/>
      <w:kern w:val="2"/>
      <w:sz w:val="22"/>
      <w:szCs w:val="22"/>
      <w14:ligatures w14:val="standardContextual"/>
    </w:rPr>
  </w:style>
  <w:style w:type="character" w:customStyle="1" w:styleId="Heading7Char">
    <w:name w:val="Heading 7 Char"/>
    <w:basedOn w:val="DefaultParagraphFont"/>
    <w:link w:val="Heading7"/>
    <w:uiPriority w:val="9"/>
    <w:semiHidden/>
    <w:rsid w:val="00D2460A"/>
    <w:rPr>
      <w:rFonts w:ascii="Arial" w:eastAsiaTheme="majorEastAsia" w:hAnsi="Arial" w:cstheme="majorBidi"/>
      <w:noProof/>
      <w:color w:val="595959" w:themeColor="text1" w:themeTint="A6"/>
      <w:kern w:val="2"/>
      <w:sz w:val="22"/>
      <w:szCs w:val="22"/>
      <w14:ligatures w14:val="standardContextual"/>
    </w:rPr>
  </w:style>
  <w:style w:type="paragraph" w:styleId="Quote">
    <w:name w:val="Quote"/>
    <w:basedOn w:val="Normal"/>
    <w:next w:val="Normal"/>
    <w:link w:val="QuoteChar"/>
    <w:uiPriority w:val="29"/>
    <w:qFormat/>
    <w:rsid w:val="00D2460A"/>
    <w:pPr>
      <w:spacing w:before="160" w:after="160" w:line="278" w:lineRule="auto"/>
      <w:ind w:left="360"/>
      <w:jc w:val="center"/>
    </w:pPr>
    <w:rPr>
      <w:rFonts w:ascii="Arial" w:eastAsiaTheme="minorHAnsi" w:hAnsi="Arial" w:cs="Arial"/>
      <w:i/>
      <w:iCs/>
      <w:noProof/>
      <w:color w:val="404040" w:themeColor="text1" w:themeTint="BF"/>
      <w:kern w:val="2"/>
      <w:szCs w:val="22"/>
      <w14:ligatures w14:val="standardContextual"/>
    </w:rPr>
  </w:style>
  <w:style w:type="character" w:customStyle="1" w:styleId="QuoteChar">
    <w:name w:val="Quote Char"/>
    <w:basedOn w:val="DefaultParagraphFont"/>
    <w:link w:val="Quote"/>
    <w:uiPriority w:val="29"/>
    <w:rsid w:val="00D2460A"/>
    <w:rPr>
      <w:rFonts w:ascii="Arial" w:eastAsiaTheme="minorHAnsi" w:hAnsi="Arial" w:cs="Arial"/>
      <w:i/>
      <w:iCs/>
      <w:noProof/>
      <w:color w:val="404040" w:themeColor="text1" w:themeTint="BF"/>
      <w:kern w:val="2"/>
      <w:sz w:val="22"/>
      <w:szCs w:val="22"/>
      <w14:ligatures w14:val="standardContextual"/>
    </w:rPr>
  </w:style>
  <w:style w:type="character" w:styleId="IntenseEmphasis">
    <w:name w:val="Intense Emphasis"/>
    <w:basedOn w:val="DefaultParagraphFont"/>
    <w:uiPriority w:val="21"/>
    <w:qFormat/>
    <w:rsid w:val="00D2460A"/>
    <w:rPr>
      <w:i/>
      <w:iCs/>
      <w:color w:val="85162E" w:themeColor="accent1" w:themeShade="BF"/>
    </w:rPr>
  </w:style>
  <w:style w:type="character" w:styleId="IntenseReference">
    <w:name w:val="Intense Reference"/>
    <w:basedOn w:val="DefaultParagraphFont"/>
    <w:uiPriority w:val="32"/>
    <w:qFormat/>
    <w:rsid w:val="00D2460A"/>
    <w:rPr>
      <w:b/>
      <w:bCs/>
      <w:smallCaps/>
      <w:color w:val="85162E" w:themeColor="accent1" w:themeShade="BF"/>
      <w:spacing w:val="5"/>
    </w:rPr>
  </w:style>
  <w:style w:type="paragraph" w:customStyle="1" w:styleId="RG">
    <w:name w:val="RG"/>
    <w:basedOn w:val="Normal"/>
    <w:link w:val="RGChar"/>
    <w:qFormat/>
    <w:rsid w:val="00D2460A"/>
    <w:pPr>
      <w:spacing w:before="120" w:after="120"/>
    </w:pPr>
    <w:rPr>
      <w:rFonts w:ascii="Arial" w:eastAsiaTheme="minorHAnsi" w:hAnsi="Arial" w:cs="Arial"/>
      <w:noProof/>
      <w:color w:val="auto"/>
      <w:kern w:val="2"/>
      <w:szCs w:val="22"/>
      <w14:ligatures w14:val="standardContextual"/>
    </w:rPr>
  </w:style>
  <w:style w:type="character" w:customStyle="1" w:styleId="RGChar">
    <w:name w:val="RG Char"/>
    <w:basedOn w:val="DefaultParagraphFont"/>
    <w:link w:val="RG"/>
    <w:rsid w:val="00D2460A"/>
    <w:rPr>
      <w:rFonts w:ascii="Arial" w:eastAsiaTheme="minorHAnsi" w:hAnsi="Arial" w:cs="Arial"/>
      <w:noProof/>
      <w:kern w:val="2"/>
      <w:sz w:val="22"/>
      <w:szCs w:val="22"/>
      <w14:ligatures w14:val="standardContextual"/>
    </w:rPr>
  </w:style>
  <w:style w:type="table" w:customStyle="1" w:styleId="TableGrid1">
    <w:name w:val="Table Grid1"/>
    <w:basedOn w:val="TableNormal"/>
    <w:next w:val="TableGrid"/>
    <w:uiPriority w:val="39"/>
    <w:rsid w:val="00D24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Normal"/>
    <w:rsid w:val="00A72482"/>
    <w:pPr>
      <w:spacing w:before="100" w:beforeAutospacing="1" w:after="100" w:afterAutospacing="1"/>
    </w:pPr>
    <w:rPr>
      <w:rFonts w:ascii="Aptos" w:eastAsia="Times New Roman" w:hAnsi="Aptos" w:cs="Times New Roman"/>
      <w:color w:val="000000"/>
      <w:szCs w:val="22"/>
    </w:rPr>
  </w:style>
  <w:style w:type="paragraph" w:customStyle="1" w:styleId="xl84">
    <w:name w:val="xl84"/>
    <w:basedOn w:val="Normal"/>
    <w:rsid w:val="00A72482"/>
    <w:pPr>
      <w:pBdr>
        <w:top w:val="single" w:sz="4" w:space="0" w:color="auto"/>
        <w:left w:val="single" w:sz="4" w:space="0" w:color="auto"/>
        <w:bottom w:val="single" w:sz="4" w:space="0" w:color="auto"/>
        <w:right w:val="single" w:sz="4" w:space="0" w:color="auto"/>
      </w:pBdr>
      <w:shd w:val="clear" w:color="000000" w:fill="005B8E"/>
      <w:spacing w:before="100" w:beforeAutospacing="1" w:after="100" w:afterAutospacing="1"/>
      <w:textAlignment w:val="top"/>
    </w:pPr>
    <w:rPr>
      <w:rFonts w:ascii="Aptos" w:eastAsia="Times New Roman" w:hAnsi="Aptos" w:cs="Times New Roman"/>
      <w:b/>
      <w:bCs/>
      <w:color w:val="FFFFFF"/>
      <w:sz w:val="24"/>
    </w:rPr>
  </w:style>
  <w:style w:type="paragraph" w:customStyle="1" w:styleId="xl85">
    <w:name w:val="xl85"/>
    <w:basedOn w:val="Normal"/>
    <w:rsid w:val="00A72482"/>
    <w:pPr>
      <w:pBdr>
        <w:top w:val="single" w:sz="4" w:space="0" w:color="auto"/>
        <w:left w:val="single" w:sz="4" w:space="0" w:color="auto"/>
        <w:bottom w:val="single" w:sz="4" w:space="0" w:color="auto"/>
        <w:right w:val="single" w:sz="4" w:space="0" w:color="auto"/>
      </w:pBdr>
      <w:shd w:val="clear" w:color="000000" w:fill="005B8E"/>
      <w:spacing w:before="100" w:beforeAutospacing="1" w:after="100" w:afterAutospacing="1"/>
      <w:textAlignment w:val="top"/>
    </w:pPr>
    <w:rPr>
      <w:rFonts w:ascii="Aptos" w:eastAsia="Times New Roman" w:hAnsi="Aptos" w:cs="Times New Roman"/>
      <w:b/>
      <w:bCs/>
      <w:color w:val="FFFFFF"/>
      <w:sz w:val="24"/>
    </w:rPr>
  </w:style>
  <w:style w:type="paragraph" w:customStyle="1" w:styleId="xl86">
    <w:name w:val="xl86"/>
    <w:basedOn w:val="Normal"/>
    <w:rsid w:val="00A72482"/>
    <w:pPr>
      <w:spacing w:before="100" w:beforeAutospacing="1" w:after="100" w:afterAutospacing="1"/>
    </w:pPr>
    <w:rPr>
      <w:rFonts w:ascii="Times New Roman" w:eastAsia="Times New Roman" w:hAnsi="Times New Roman" w:cs="Times New Roman"/>
      <w:color w:val="auto"/>
      <w:sz w:val="24"/>
    </w:rPr>
  </w:style>
  <w:style w:type="paragraph" w:customStyle="1" w:styleId="xl87">
    <w:name w:val="xl87"/>
    <w:basedOn w:val="Normal"/>
    <w:rsid w:val="001D1E4C"/>
    <w:pPr>
      <w:pBdr>
        <w:bottom w:val="single" w:sz="4" w:space="0" w:color="auto"/>
      </w:pBdr>
      <w:spacing w:before="100" w:beforeAutospacing="1" w:after="100" w:afterAutospacing="1"/>
    </w:pPr>
    <w:rPr>
      <w:rFonts w:ascii="Times New Roman" w:eastAsia="Times New Roman" w:hAnsi="Times New Roman" w:cs="Times New Roman"/>
      <w:color w:val="auto"/>
      <w:sz w:val="24"/>
    </w:rPr>
  </w:style>
  <w:style w:type="numbering" w:customStyle="1" w:styleId="NoList1">
    <w:name w:val="No List1"/>
    <w:next w:val="NoList"/>
    <w:uiPriority w:val="99"/>
    <w:semiHidden/>
    <w:unhideWhenUsed/>
    <w:rsid w:val="004925F3"/>
  </w:style>
  <w:style w:type="numbering" w:customStyle="1" w:styleId="NoList2">
    <w:name w:val="No List2"/>
    <w:next w:val="NoList"/>
    <w:uiPriority w:val="99"/>
    <w:semiHidden/>
    <w:unhideWhenUsed/>
    <w:rsid w:val="00963E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45718">
      <w:bodyDiv w:val="1"/>
      <w:marLeft w:val="0"/>
      <w:marRight w:val="0"/>
      <w:marTop w:val="0"/>
      <w:marBottom w:val="0"/>
      <w:divBdr>
        <w:top w:val="none" w:sz="0" w:space="0" w:color="auto"/>
        <w:left w:val="none" w:sz="0" w:space="0" w:color="auto"/>
        <w:bottom w:val="none" w:sz="0" w:space="0" w:color="auto"/>
        <w:right w:val="none" w:sz="0" w:space="0" w:color="auto"/>
      </w:divBdr>
    </w:div>
    <w:div w:id="9918983">
      <w:bodyDiv w:val="1"/>
      <w:marLeft w:val="0"/>
      <w:marRight w:val="0"/>
      <w:marTop w:val="0"/>
      <w:marBottom w:val="0"/>
      <w:divBdr>
        <w:top w:val="none" w:sz="0" w:space="0" w:color="auto"/>
        <w:left w:val="none" w:sz="0" w:space="0" w:color="auto"/>
        <w:bottom w:val="none" w:sz="0" w:space="0" w:color="auto"/>
        <w:right w:val="none" w:sz="0" w:space="0" w:color="auto"/>
      </w:divBdr>
    </w:div>
    <w:div w:id="20934929">
      <w:bodyDiv w:val="1"/>
      <w:marLeft w:val="0"/>
      <w:marRight w:val="0"/>
      <w:marTop w:val="0"/>
      <w:marBottom w:val="0"/>
      <w:divBdr>
        <w:top w:val="none" w:sz="0" w:space="0" w:color="auto"/>
        <w:left w:val="none" w:sz="0" w:space="0" w:color="auto"/>
        <w:bottom w:val="none" w:sz="0" w:space="0" w:color="auto"/>
        <w:right w:val="none" w:sz="0" w:space="0" w:color="auto"/>
      </w:divBdr>
    </w:div>
    <w:div w:id="27804300">
      <w:bodyDiv w:val="1"/>
      <w:marLeft w:val="0"/>
      <w:marRight w:val="0"/>
      <w:marTop w:val="0"/>
      <w:marBottom w:val="0"/>
      <w:divBdr>
        <w:top w:val="none" w:sz="0" w:space="0" w:color="auto"/>
        <w:left w:val="none" w:sz="0" w:space="0" w:color="auto"/>
        <w:bottom w:val="none" w:sz="0" w:space="0" w:color="auto"/>
        <w:right w:val="none" w:sz="0" w:space="0" w:color="auto"/>
      </w:divBdr>
    </w:div>
    <w:div w:id="28922091">
      <w:bodyDiv w:val="1"/>
      <w:marLeft w:val="0"/>
      <w:marRight w:val="0"/>
      <w:marTop w:val="0"/>
      <w:marBottom w:val="0"/>
      <w:divBdr>
        <w:top w:val="none" w:sz="0" w:space="0" w:color="auto"/>
        <w:left w:val="none" w:sz="0" w:space="0" w:color="auto"/>
        <w:bottom w:val="none" w:sz="0" w:space="0" w:color="auto"/>
        <w:right w:val="none" w:sz="0" w:space="0" w:color="auto"/>
      </w:divBdr>
    </w:div>
    <w:div w:id="33972359">
      <w:bodyDiv w:val="1"/>
      <w:marLeft w:val="0"/>
      <w:marRight w:val="0"/>
      <w:marTop w:val="0"/>
      <w:marBottom w:val="0"/>
      <w:divBdr>
        <w:top w:val="none" w:sz="0" w:space="0" w:color="auto"/>
        <w:left w:val="none" w:sz="0" w:space="0" w:color="auto"/>
        <w:bottom w:val="none" w:sz="0" w:space="0" w:color="auto"/>
        <w:right w:val="none" w:sz="0" w:space="0" w:color="auto"/>
      </w:divBdr>
    </w:div>
    <w:div w:id="38172562">
      <w:bodyDiv w:val="1"/>
      <w:marLeft w:val="0"/>
      <w:marRight w:val="0"/>
      <w:marTop w:val="0"/>
      <w:marBottom w:val="0"/>
      <w:divBdr>
        <w:top w:val="none" w:sz="0" w:space="0" w:color="auto"/>
        <w:left w:val="none" w:sz="0" w:space="0" w:color="auto"/>
        <w:bottom w:val="none" w:sz="0" w:space="0" w:color="auto"/>
        <w:right w:val="none" w:sz="0" w:space="0" w:color="auto"/>
      </w:divBdr>
    </w:div>
    <w:div w:id="39088747">
      <w:bodyDiv w:val="1"/>
      <w:marLeft w:val="0"/>
      <w:marRight w:val="0"/>
      <w:marTop w:val="0"/>
      <w:marBottom w:val="0"/>
      <w:divBdr>
        <w:top w:val="none" w:sz="0" w:space="0" w:color="auto"/>
        <w:left w:val="none" w:sz="0" w:space="0" w:color="auto"/>
        <w:bottom w:val="none" w:sz="0" w:space="0" w:color="auto"/>
        <w:right w:val="none" w:sz="0" w:space="0" w:color="auto"/>
      </w:divBdr>
    </w:div>
    <w:div w:id="45105289">
      <w:bodyDiv w:val="1"/>
      <w:marLeft w:val="0"/>
      <w:marRight w:val="0"/>
      <w:marTop w:val="0"/>
      <w:marBottom w:val="0"/>
      <w:divBdr>
        <w:top w:val="none" w:sz="0" w:space="0" w:color="auto"/>
        <w:left w:val="none" w:sz="0" w:space="0" w:color="auto"/>
        <w:bottom w:val="none" w:sz="0" w:space="0" w:color="auto"/>
        <w:right w:val="none" w:sz="0" w:space="0" w:color="auto"/>
      </w:divBdr>
    </w:div>
    <w:div w:id="45497234">
      <w:bodyDiv w:val="1"/>
      <w:marLeft w:val="0"/>
      <w:marRight w:val="0"/>
      <w:marTop w:val="0"/>
      <w:marBottom w:val="0"/>
      <w:divBdr>
        <w:top w:val="none" w:sz="0" w:space="0" w:color="auto"/>
        <w:left w:val="none" w:sz="0" w:space="0" w:color="auto"/>
        <w:bottom w:val="none" w:sz="0" w:space="0" w:color="auto"/>
        <w:right w:val="none" w:sz="0" w:space="0" w:color="auto"/>
      </w:divBdr>
    </w:div>
    <w:div w:id="47605810">
      <w:bodyDiv w:val="1"/>
      <w:marLeft w:val="0"/>
      <w:marRight w:val="0"/>
      <w:marTop w:val="0"/>
      <w:marBottom w:val="0"/>
      <w:divBdr>
        <w:top w:val="none" w:sz="0" w:space="0" w:color="auto"/>
        <w:left w:val="none" w:sz="0" w:space="0" w:color="auto"/>
        <w:bottom w:val="none" w:sz="0" w:space="0" w:color="auto"/>
        <w:right w:val="none" w:sz="0" w:space="0" w:color="auto"/>
      </w:divBdr>
    </w:div>
    <w:div w:id="49111344">
      <w:bodyDiv w:val="1"/>
      <w:marLeft w:val="0"/>
      <w:marRight w:val="0"/>
      <w:marTop w:val="0"/>
      <w:marBottom w:val="0"/>
      <w:divBdr>
        <w:top w:val="none" w:sz="0" w:space="0" w:color="auto"/>
        <w:left w:val="none" w:sz="0" w:space="0" w:color="auto"/>
        <w:bottom w:val="none" w:sz="0" w:space="0" w:color="auto"/>
        <w:right w:val="none" w:sz="0" w:space="0" w:color="auto"/>
      </w:divBdr>
    </w:div>
    <w:div w:id="58603880">
      <w:bodyDiv w:val="1"/>
      <w:marLeft w:val="0"/>
      <w:marRight w:val="0"/>
      <w:marTop w:val="0"/>
      <w:marBottom w:val="0"/>
      <w:divBdr>
        <w:top w:val="none" w:sz="0" w:space="0" w:color="auto"/>
        <w:left w:val="none" w:sz="0" w:space="0" w:color="auto"/>
        <w:bottom w:val="none" w:sz="0" w:space="0" w:color="auto"/>
        <w:right w:val="none" w:sz="0" w:space="0" w:color="auto"/>
      </w:divBdr>
    </w:div>
    <w:div w:id="62267244">
      <w:bodyDiv w:val="1"/>
      <w:marLeft w:val="0"/>
      <w:marRight w:val="0"/>
      <w:marTop w:val="0"/>
      <w:marBottom w:val="0"/>
      <w:divBdr>
        <w:top w:val="none" w:sz="0" w:space="0" w:color="auto"/>
        <w:left w:val="none" w:sz="0" w:space="0" w:color="auto"/>
        <w:bottom w:val="none" w:sz="0" w:space="0" w:color="auto"/>
        <w:right w:val="none" w:sz="0" w:space="0" w:color="auto"/>
      </w:divBdr>
    </w:div>
    <w:div w:id="64841638">
      <w:bodyDiv w:val="1"/>
      <w:marLeft w:val="0"/>
      <w:marRight w:val="0"/>
      <w:marTop w:val="0"/>
      <w:marBottom w:val="0"/>
      <w:divBdr>
        <w:top w:val="none" w:sz="0" w:space="0" w:color="auto"/>
        <w:left w:val="none" w:sz="0" w:space="0" w:color="auto"/>
        <w:bottom w:val="none" w:sz="0" w:space="0" w:color="auto"/>
        <w:right w:val="none" w:sz="0" w:space="0" w:color="auto"/>
      </w:divBdr>
    </w:div>
    <w:div w:id="67461043">
      <w:bodyDiv w:val="1"/>
      <w:marLeft w:val="0"/>
      <w:marRight w:val="0"/>
      <w:marTop w:val="0"/>
      <w:marBottom w:val="0"/>
      <w:divBdr>
        <w:top w:val="none" w:sz="0" w:space="0" w:color="auto"/>
        <w:left w:val="none" w:sz="0" w:space="0" w:color="auto"/>
        <w:bottom w:val="none" w:sz="0" w:space="0" w:color="auto"/>
        <w:right w:val="none" w:sz="0" w:space="0" w:color="auto"/>
      </w:divBdr>
    </w:div>
    <w:div w:id="82410855">
      <w:bodyDiv w:val="1"/>
      <w:marLeft w:val="0"/>
      <w:marRight w:val="0"/>
      <w:marTop w:val="0"/>
      <w:marBottom w:val="0"/>
      <w:divBdr>
        <w:top w:val="none" w:sz="0" w:space="0" w:color="auto"/>
        <w:left w:val="none" w:sz="0" w:space="0" w:color="auto"/>
        <w:bottom w:val="none" w:sz="0" w:space="0" w:color="auto"/>
        <w:right w:val="none" w:sz="0" w:space="0" w:color="auto"/>
      </w:divBdr>
    </w:div>
    <w:div w:id="82605230">
      <w:bodyDiv w:val="1"/>
      <w:marLeft w:val="0"/>
      <w:marRight w:val="0"/>
      <w:marTop w:val="0"/>
      <w:marBottom w:val="0"/>
      <w:divBdr>
        <w:top w:val="none" w:sz="0" w:space="0" w:color="auto"/>
        <w:left w:val="none" w:sz="0" w:space="0" w:color="auto"/>
        <w:bottom w:val="none" w:sz="0" w:space="0" w:color="auto"/>
        <w:right w:val="none" w:sz="0" w:space="0" w:color="auto"/>
      </w:divBdr>
    </w:div>
    <w:div w:id="82918188">
      <w:bodyDiv w:val="1"/>
      <w:marLeft w:val="0"/>
      <w:marRight w:val="0"/>
      <w:marTop w:val="0"/>
      <w:marBottom w:val="0"/>
      <w:divBdr>
        <w:top w:val="none" w:sz="0" w:space="0" w:color="auto"/>
        <w:left w:val="none" w:sz="0" w:space="0" w:color="auto"/>
        <w:bottom w:val="none" w:sz="0" w:space="0" w:color="auto"/>
        <w:right w:val="none" w:sz="0" w:space="0" w:color="auto"/>
      </w:divBdr>
    </w:div>
    <w:div w:id="103430120">
      <w:bodyDiv w:val="1"/>
      <w:marLeft w:val="0"/>
      <w:marRight w:val="0"/>
      <w:marTop w:val="0"/>
      <w:marBottom w:val="0"/>
      <w:divBdr>
        <w:top w:val="none" w:sz="0" w:space="0" w:color="auto"/>
        <w:left w:val="none" w:sz="0" w:space="0" w:color="auto"/>
        <w:bottom w:val="none" w:sz="0" w:space="0" w:color="auto"/>
        <w:right w:val="none" w:sz="0" w:space="0" w:color="auto"/>
      </w:divBdr>
    </w:div>
    <w:div w:id="103767495">
      <w:bodyDiv w:val="1"/>
      <w:marLeft w:val="0"/>
      <w:marRight w:val="0"/>
      <w:marTop w:val="0"/>
      <w:marBottom w:val="0"/>
      <w:divBdr>
        <w:top w:val="none" w:sz="0" w:space="0" w:color="auto"/>
        <w:left w:val="none" w:sz="0" w:space="0" w:color="auto"/>
        <w:bottom w:val="none" w:sz="0" w:space="0" w:color="auto"/>
        <w:right w:val="none" w:sz="0" w:space="0" w:color="auto"/>
      </w:divBdr>
    </w:div>
    <w:div w:id="114954653">
      <w:bodyDiv w:val="1"/>
      <w:marLeft w:val="0"/>
      <w:marRight w:val="0"/>
      <w:marTop w:val="0"/>
      <w:marBottom w:val="0"/>
      <w:divBdr>
        <w:top w:val="none" w:sz="0" w:space="0" w:color="auto"/>
        <w:left w:val="none" w:sz="0" w:space="0" w:color="auto"/>
        <w:bottom w:val="none" w:sz="0" w:space="0" w:color="auto"/>
        <w:right w:val="none" w:sz="0" w:space="0" w:color="auto"/>
      </w:divBdr>
    </w:div>
    <w:div w:id="115025927">
      <w:bodyDiv w:val="1"/>
      <w:marLeft w:val="0"/>
      <w:marRight w:val="0"/>
      <w:marTop w:val="0"/>
      <w:marBottom w:val="0"/>
      <w:divBdr>
        <w:top w:val="none" w:sz="0" w:space="0" w:color="auto"/>
        <w:left w:val="none" w:sz="0" w:space="0" w:color="auto"/>
        <w:bottom w:val="none" w:sz="0" w:space="0" w:color="auto"/>
        <w:right w:val="none" w:sz="0" w:space="0" w:color="auto"/>
      </w:divBdr>
    </w:div>
    <w:div w:id="115299583">
      <w:bodyDiv w:val="1"/>
      <w:marLeft w:val="0"/>
      <w:marRight w:val="0"/>
      <w:marTop w:val="0"/>
      <w:marBottom w:val="0"/>
      <w:divBdr>
        <w:top w:val="none" w:sz="0" w:space="0" w:color="auto"/>
        <w:left w:val="none" w:sz="0" w:space="0" w:color="auto"/>
        <w:bottom w:val="none" w:sz="0" w:space="0" w:color="auto"/>
        <w:right w:val="none" w:sz="0" w:space="0" w:color="auto"/>
      </w:divBdr>
    </w:div>
    <w:div w:id="124472011">
      <w:bodyDiv w:val="1"/>
      <w:marLeft w:val="0"/>
      <w:marRight w:val="0"/>
      <w:marTop w:val="0"/>
      <w:marBottom w:val="0"/>
      <w:divBdr>
        <w:top w:val="none" w:sz="0" w:space="0" w:color="auto"/>
        <w:left w:val="none" w:sz="0" w:space="0" w:color="auto"/>
        <w:bottom w:val="none" w:sz="0" w:space="0" w:color="auto"/>
        <w:right w:val="none" w:sz="0" w:space="0" w:color="auto"/>
      </w:divBdr>
    </w:div>
    <w:div w:id="133955677">
      <w:bodyDiv w:val="1"/>
      <w:marLeft w:val="0"/>
      <w:marRight w:val="0"/>
      <w:marTop w:val="0"/>
      <w:marBottom w:val="0"/>
      <w:divBdr>
        <w:top w:val="none" w:sz="0" w:space="0" w:color="auto"/>
        <w:left w:val="none" w:sz="0" w:space="0" w:color="auto"/>
        <w:bottom w:val="none" w:sz="0" w:space="0" w:color="auto"/>
        <w:right w:val="none" w:sz="0" w:space="0" w:color="auto"/>
      </w:divBdr>
    </w:div>
    <w:div w:id="137577635">
      <w:bodyDiv w:val="1"/>
      <w:marLeft w:val="0"/>
      <w:marRight w:val="0"/>
      <w:marTop w:val="0"/>
      <w:marBottom w:val="0"/>
      <w:divBdr>
        <w:top w:val="none" w:sz="0" w:space="0" w:color="auto"/>
        <w:left w:val="none" w:sz="0" w:space="0" w:color="auto"/>
        <w:bottom w:val="none" w:sz="0" w:space="0" w:color="auto"/>
        <w:right w:val="none" w:sz="0" w:space="0" w:color="auto"/>
      </w:divBdr>
    </w:div>
    <w:div w:id="143400920">
      <w:bodyDiv w:val="1"/>
      <w:marLeft w:val="0"/>
      <w:marRight w:val="0"/>
      <w:marTop w:val="0"/>
      <w:marBottom w:val="0"/>
      <w:divBdr>
        <w:top w:val="none" w:sz="0" w:space="0" w:color="auto"/>
        <w:left w:val="none" w:sz="0" w:space="0" w:color="auto"/>
        <w:bottom w:val="none" w:sz="0" w:space="0" w:color="auto"/>
        <w:right w:val="none" w:sz="0" w:space="0" w:color="auto"/>
      </w:divBdr>
    </w:div>
    <w:div w:id="144319043">
      <w:bodyDiv w:val="1"/>
      <w:marLeft w:val="0"/>
      <w:marRight w:val="0"/>
      <w:marTop w:val="0"/>
      <w:marBottom w:val="0"/>
      <w:divBdr>
        <w:top w:val="none" w:sz="0" w:space="0" w:color="auto"/>
        <w:left w:val="none" w:sz="0" w:space="0" w:color="auto"/>
        <w:bottom w:val="none" w:sz="0" w:space="0" w:color="auto"/>
        <w:right w:val="none" w:sz="0" w:space="0" w:color="auto"/>
      </w:divBdr>
    </w:div>
    <w:div w:id="150879238">
      <w:bodyDiv w:val="1"/>
      <w:marLeft w:val="0"/>
      <w:marRight w:val="0"/>
      <w:marTop w:val="0"/>
      <w:marBottom w:val="0"/>
      <w:divBdr>
        <w:top w:val="none" w:sz="0" w:space="0" w:color="auto"/>
        <w:left w:val="none" w:sz="0" w:space="0" w:color="auto"/>
        <w:bottom w:val="none" w:sz="0" w:space="0" w:color="auto"/>
        <w:right w:val="none" w:sz="0" w:space="0" w:color="auto"/>
      </w:divBdr>
    </w:div>
    <w:div w:id="158739918">
      <w:bodyDiv w:val="1"/>
      <w:marLeft w:val="0"/>
      <w:marRight w:val="0"/>
      <w:marTop w:val="0"/>
      <w:marBottom w:val="0"/>
      <w:divBdr>
        <w:top w:val="none" w:sz="0" w:space="0" w:color="auto"/>
        <w:left w:val="none" w:sz="0" w:space="0" w:color="auto"/>
        <w:bottom w:val="none" w:sz="0" w:space="0" w:color="auto"/>
        <w:right w:val="none" w:sz="0" w:space="0" w:color="auto"/>
      </w:divBdr>
    </w:div>
    <w:div w:id="166752379">
      <w:bodyDiv w:val="1"/>
      <w:marLeft w:val="0"/>
      <w:marRight w:val="0"/>
      <w:marTop w:val="0"/>
      <w:marBottom w:val="0"/>
      <w:divBdr>
        <w:top w:val="none" w:sz="0" w:space="0" w:color="auto"/>
        <w:left w:val="none" w:sz="0" w:space="0" w:color="auto"/>
        <w:bottom w:val="none" w:sz="0" w:space="0" w:color="auto"/>
        <w:right w:val="none" w:sz="0" w:space="0" w:color="auto"/>
      </w:divBdr>
    </w:div>
    <w:div w:id="172764893">
      <w:bodyDiv w:val="1"/>
      <w:marLeft w:val="0"/>
      <w:marRight w:val="0"/>
      <w:marTop w:val="0"/>
      <w:marBottom w:val="0"/>
      <w:divBdr>
        <w:top w:val="none" w:sz="0" w:space="0" w:color="auto"/>
        <w:left w:val="none" w:sz="0" w:space="0" w:color="auto"/>
        <w:bottom w:val="none" w:sz="0" w:space="0" w:color="auto"/>
        <w:right w:val="none" w:sz="0" w:space="0" w:color="auto"/>
      </w:divBdr>
    </w:div>
    <w:div w:id="175847947">
      <w:bodyDiv w:val="1"/>
      <w:marLeft w:val="0"/>
      <w:marRight w:val="0"/>
      <w:marTop w:val="0"/>
      <w:marBottom w:val="0"/>
      <w:divBdr>
        <w:top w:val="none" w:sz="0" w:space="0" w:color="auto"/>
        <w:left w:val="none" w:sz="0" w:space="0" w:color="auto"/>
        <w:bottom w:val="none" w:sz="0" w:space="0" w:color="auto"/>
        <w:right w:val="none" w:sz="0" w:space="0" w:color="auto"/>
      </w:divBdr>
    </w:div>
    <w:div w:id="190413803">
      <w:bodyDiv w:val="1"/>
      <w:marLeft w:val="0"/>
      <w:marRight w:val="0"/>
      <w:marTop w:val="0"/>
      <w:marBottom w:val="0"/>
      <w:divBdr>
        <w:top w:val="none" w:sz="0" w:space="0" w:color="auto"/>
        <w:left w:val="none" w:sz="0" w:space="0" w:color="auto"/>
        <w:bottom w:val="none" w:sz="0" w:space="0" w:color="auto"/>
        <w:right w:val="none" w:sz="0" w:space="0" w:color="auto"/>
      </w:divBdr>
    </w:div>
    <w:div w:id="195506082">
      <w:bodyDiv w:val="1"/>
      <w:marLeft w:val="0"/>
      <w:marRight w:val="0"/>
      <w:marTop w:val="0"/>
      <w:marBottom w:val="0"/>
      <w:divBdr>
        <w:top w:val="none" w:sz="0" w:space="0" w:color="auto"/>
        <w:left w:val="none" w:sz="0" w:space="0" w:color="auto"/>
        <w:bottom w:val="none" w:sz="0" w:space="0" w:color="auto"/>
        <w:right w:val="none" w:sz="0" w:space="0" w:color="auto"/>
      </w:divBdr>
    </w:div>
    <w:div w:id="197932100">
      <w:bodyDiv w:val="1"/>
      <w:marLeft w:val="0"/>
      <w:marRight w:val="0"/>
      <w:marTop w:val="0"/>
      <w:marBottom w:val="0"/>
      <w:divBdr>
        <w:top w:val="none" w:sz="0" w:space="0" w:color="auto"/>
        <w:left w:val="none" w:sz="0" w:space="0" w:color="auto"/>
        <w:bottom w:val="none" w:sz="0" w:space="0" w:color="auto"/>
        <w:right w:val="none" w:sz="0" w:space="0" w:color="auto"/>
      </w:divBdr>
    </w:div>
    <w:div w:id="203446539">
      <w:bodyDiv w:val="1"/>
      <w:marLeft w:val="0"/>
      <w:marRight w:val="0"/>
      <w:marTop w:val="0"/>
      <w:marBottom w:val="0"/>
      <w:divBdr>
        <w:top w:val="none" w:sz="0" w:space="0" w:color="auto"/>
        <w:left w:val="none" w:sz="0" w:space="0" w:color="auto"/>
        <w:bottom w:val="none" w:sz="0" w:space="0" w:color="auto"/>
        <w:right w:val="none" w:sz="0" w:space="0" w:color="auto"/>
      </w:divBdr>
    </w:div>
    <w:div w:id="206840176">
      <w:bodyDiv w:val="1"/>
      <w:marLeft w:val="0"/>
      <w:marRight w:val="0"/>
      <w:marTop w:val="0"/>
      <w:marBottom w:val="0"/>
      <w:divBdr>
        <w:top w:val="none" w:sz="0" w:space="0" w:color="auto"/>
        <w:left w:val="none" w:sz="0" w:space="0" w:color="auto"/>
        <w:bottom w:val="none" w:sz="0" w:space="0" w:color="auto"/>
        <w:right w:val="none" w:sz="0" w:space="0" w:color="auto"/>
      </w:divBdr>
    </w:div>
    <w:div w:id="211699853">
      <w:bodyDiv w:val="1"/>
      <w:marLeft w:val="0"/>
      <w:marRight w:val="0"/>
      <w:marTop w:val="0"/>
      <w:marBottom w:val="0"/>
      <w:divBdr>
        <w:top w:val="none" w:sz="0" w:space="0" w:color="auto"/>
        <w:left w:val="none" w:sz="0" w:space="0" w:color="auto"/>
        <w:bottom w:val="none" w:sz="0" w:space="0" w:color="auto"/>
        <w:right w:val="none" w:sz="0" w:space="0" w:color="auto"/>
      </w:divBdr>
    </w:div>
    <w:div w:id="212547039">
      <w:bodyDiv w:val="1"/>
      <w:marLeft w:val="0"/>
      <w:marRight w:val="0"/>
      <w:marTop w:val="0"/>
      <w:marBottom w:val="0"/>
      <w:divBdr>
        <w:top w:val="none" w:sz="0" w:space="0" w:color="auto"/>
        <w:left w:val="none" w:sz="0" w:space="0" w:color="auto"/>
        <w:bottom w:val="none" w:sz="0" w:space="0" w:color="auto"/>
        <w:right w:val="none" w:sz="0" w:space="0" w:color="auto"/>
      </w:divBdr>
    </w:div>
    <w:div w:id="213544511">
      <w:bodyDiv w:val="1"/>
      <w:marLeft w:val="0"/>
      <w:marRight w:val="0"/>
      <w:marTop w:val="0"/>
      <w:marBottom w:val="0"/>
      <w:divBdr>
        <w:top w:val="none" w:sz="0" w:space="0" w:color="auto"/>
        <w:left w:val="none" w:sz="0" w:space="0" w:color="auto"/>
        <w:bottom w:val="none" w:sz="0" w:space="0" w:color="auto"/>
        <w:right w:val="none" w:sz="0" w:space="0" w:color="auto"/>
      </w:divBdr>
    </w:div>
    <w:div w:id="217014169">
      <w:bodyDiv w:val="1"/>
      <w:marLeft w:val="0"/>
      <w:marRight w:val="0"/>
      <w:marTop w:val="0"/>
      <w:marBottom w:val="0"/>
      <w:divBdr>
        <w:top w:val="none" w:sz="0" w:space="0" w:color="auto"/>
        <w:left w:val="none" w:sz="0" w:space="0" w:color="auto"/>
        <w:bottom w:val="none" w:sz="0" w:space="0" w:color="auto"/>
        <w:right w:val="none" w:sz="0" w:space="0" w:color="auto"/>
      </w:divBdr>
    </w:div>
    <w:div w:id="220411074">
      <w:bodyDiv w:val="1"/>
      <w:marLeft w:val="0"/>
      <w:marRight w:val="0"/>
      <w:marTop w:val="0"/>
      <w:marBottom w:val="0"/>
      <w:divBdr>
        <w:top w:val="none" w:sz="0" w:space="0" w:color="auto"/>
        <w:left w:val="none" w:sz="0" w:space="0" w:color="auto"/>
        <w:bottom w:val="none" w:sz="0" w:space="0" w:color="auto"/>
        <w:right w:val="none" w:sz="0" w:space="0" w:color="auto"/>
      </w:divBdr>
    </w:div>
    <w:div w:id="221449437">
      <w:bodyDiv w:val="1"/>
      <w:marLeft w:val="0"/>
      <w:marRight w:val="0"/>
      <w:marTop w:val="0"/>
      <w:marBottom w:val="0"/>
      <w:divBdr>
        <w:top w:val="none" w:sz="0" w:space="0" w:color="auto"/>
        <w:left w:val="none" w:sz="0" w:space="0" w:color="auto"/>
        <w:bottom w:val="none" w:sz="0" w:space="0" w:color="auto"/>
        <w:right w:val="none" w:sz="0" w:space="0" w:color="auto"/>
      </w:divBdr>
    </w:div>
    <w:div w:id="227040895">
      <w:bodyDiv w:val="1"/>
      <w:marLeft w:val="0"/>
      <w:marRight w:val="0"/>
      <w:marTop w:val="0"/>
      <w:marBottom w:val="0"/>
      <w:divBdr>
        <w:top w:val="none" w:sz="0" w:space="0" w:color="auto"/>
        <w:left w:val="none" w:sz="0" w:space="0" w:color="auto"/>
        <w:bottom w:val="none" w:sz="0" w:space="0" w:color="auto"/>
        <w:right w:val="none" w:sz="0" w:space="0" w:color="auto"/>
      </w:divBdr>
    </w:div>
    <w:div w:id="227958555">
      <w:bodyDiv w:val="1"/>
      <w:marLeft w:val="0"/>
      <w:marRight w:val="0"/>
      <w:marTop w:val="0"/>
      <w:marBottom w:val="0"/>
      <w:divBdr>
        <w:top w:val="none" w:sz="0" w:space="0" w:color="auto"/>
        <w:left w:val="none" w:sz="0" w:space="0" w:color="auto"/>
        <w:bottom w:val="none" w:sz="0" w:space="0" w:color="auto"/>
        <w:right w:val="none" w:sz="0" w:space="0" w:color="auto"/>
      </w:divBdr>
    </w:div>
    <w:div w:id="239759838">
      <w:bodyDiv w:val="1"/>
      <w:marLeft w:val="0"/>
      <w:marRight w:val="0"/>
      <w:marTop w:val="0"/>
      <w:marBottom w:val="0"/>
      <w:divBdr>
        <w:top w:val="none" w:sz="0" w:space="0" w:color="auto"/>
        <w:left w:val="none" w:sz="0" w:space="0" w:color="auto"/>
        <w:bottom w:val="none" w:sz="0" w:space="0" w:color="auto"/>
        <w:right w:val="none" w:sz="0" w:space="0" w:color="auto"/>
      </w:divBdr>
    </w:div>
    <w:div w:id="240917694">
      <w:bodyDiv w:val="1"/>
      <w:marLeft w:val="0"/>
      <w:marRight w:val="0"/>
      <w:marTop w:val="0"/>
      <w:marBottom w:val="0"/>
      <w:divBdr>
        <w:top w:val="none" w:sz="0" w:space="0" w:color="auto"/>
        <w:left w:val="none" w:sz="0" w:space="0" w:color="auto"/>
        <w:bottom w:val="none" w:sz="0" w:space="0" w:color="auto"/>
        <w:right w:val="none" w:sz="0" w:space="0" w:color="auto"/>
      </w:divBdr>
    </w:div>
    <w:div w:id="241139412">
      <w:bodyDiv w:val="1"/>
      <w:marLeft w:val="0"/>
      <w:marRight w:val="0"/>
      <w:marTop w:val="0"/>
      <w:marBottom w:val="0"/>
      <w:divBdr>
        <w:top w:val="none" w:sz="0" w:space="0" w:color="auto"/>
        <w:left w:val="none" w:sz="0" w:space="0" w:color="auto"/>
        <w:bottom w:val="none" w:sz="0" w:space="0" w:color="auto"/>
        <w:right w:val="none" w:sz="0" w:space="0" w:color="auto"/>
      </w:divBdr>
    </w:div>
    <w:div w:id="241566228">
      <w:bodyDiv w:val="1"/>
      <w:marLeft w:val="0"/>
      <w:marRight w:val="0"/>
      <w:marTop w:val="0"/>
      <w:marBottom w:val="0"/>
      <w:divBdr>
        <w:top w:val="none" w:sz="0" w:space="0" w:color="auto"/>
        <w:left w:val="none" w:sz="0" w:space="0" w:color="auto"/>
        <w:bottom w:val="none" w:sz="0" w:space="0" w:color="auto"/>
        <w:right w:val="none" w:sz="0" w:space="0" w:color="auto"/>
      </w:divBdr>
    </w:div>
    <w:div w:id="241792601">
      <w:bodyDiv w:val="1"/>
      <w:marLeft w:val="0"/>
      <w:marRight w:val="0"/>
      <w:marTop w:val="0"/>
      <w:marBottom w:val="0"/>
      <w:divBdr>
        <w:top w:val="none" w:sz="0" w:space="0" w:color="auto"/>
        <w:left w:val="none" w:sz="0" w:space="0" w:color="auto"/>
        <w:bottom w:val="none" w:sz="0" w:space="0" w:color="auto"/>
        <w:right w:val="none" w:sz="0" w:space="0" w:color="auto"/>
      </w:divBdr>
    </w:div>
    <w:div w:id="242223975">
      <w:bodyDiv w:val="1"/>
      <w:marLeft w:val="0"/>
      <w:marRight w:val="0"/>
      <w:marTop w:val="0"/>
      <w:marBottom w:val="0"/>
      <w:divBdr>
        <w:top w:val="none" w:sz="0" w:space="0" w:color="auto"/>
        <w:left w:val="none" w:sz="0" w:space="0" w:color="auto"/>
        <w:bottom w:val="none" w:sz="0" w:space="0" w:color="auto"/>
        <w:right w:val="none" w:sz="0" w:space="0" w:color="auto"/>
      </w:divBdr>
    </w:div>
    <w:div w:id="247424465">
      <w:bodyDiv w:val="1"/>
      <w:marLeft w:val="0"/>
      <w:marRight w:val="0"/>
      <w:marTop w:val="0"/>
      <w:marBottom w:val="0"/>
      <w:divBdr>
        <w:top w:val="none" w:sz="0" w:space="0" w:color="auto"/>
        <w:left w:val="none" w:sz="0" w:space="0" w:color="auto"/>
        <w:bottom w:val="none" w:sz="0" w:space="0" w:color="auto"/>
        <w:right w:val="none" w:sz="0" w:space="0" w:color="auto"/>
      </w:divBdr>
    </w:div>
    <w:div w:id="249042019">
      <w:bodyDiv w:val="1"/>
      <w:marLeft w:val="0"/>
      <w:marRight w:val="0"/>
      <w:marTop w:val="0"/>
      <w:marBottom w:val="0"/>
      <w:divBdr>
        <w:top w:val="none" w:sz="0" w:space="0" w:color="auto"/>
        <w:left w:val="none" w:sz="0" w:space="0" w:color="auto"/>
        <w:bottom w:val="none" w:sz="0" w:space="0" w:color="auto"/>
        <w:right w:val="none" w:sz="0" w:space="0" w:color="auto"/>
      </w:divBdr>
    </w:div>
    <w:div w:id="249893780">
      <w:bodyDiv w:val="1"/>
      <w:marLeft w:val="0"/>
      <w:marRight w:val="0"/>
      <w:marTop w:val="0"/>
      <w:marBottom w:val="0"/>
      <w:divBdr>
        <w:top w:val="none" w:sz="0" w:space="0" w:color="auto"/>
        <w:left w:val="none" w:sz="0" w:space="0" w:color="auto"/>
        <w:bottom w:val="none" w:sz="0" w:space="0" w:color="auto"/>
        <w:right w:val="none" w:sz="0" w:space="0" w:color="auto"/>
      </w:divBdr>
    </w:div>
    <w:div w:id="253366818">
      <w:bodyDiv w:val="1"/>
      <w:marLeft w:val="0"/>
      <w:marRight w:val="0"/>
      <w:marTop w:val="0"/>
      <w:marBottom w:val="0"/>
      <w:divBdr>
        <w:top w:val="none" w:sz="0" w:space="0" w:color="auto"/>
        <w:left w:val="none" w:sz="0" w:space="0" w:color="auto"/>
        <w:bottom w:val="none" w:sz="0" w:space="0" w:color="auto"/>
        <w:right w:val="none" w:sz="0" w:space="0" w:color="auto"/>
      </w:divBdr>
    </w:div>
    <w:div w:id="254244503">
      <w:bodyDiv w:val="1"/>
      <w:marLeft w:val="0"/>
      <w:marRight w:val="0"/>
      <w:marTop w:val="0"/>
      <w:marBottom w:val="0"/>
      <w:divBdr>
        <w:top w:val="none" w:sz="0" w:space="0" w:color="auto"/>
        <w:left w:val="none" w:sz="0" w:space="0" w:color="auto"/>
        <w:bottom w:val="none" w:sz="0" w:space="0" w:color="auto"/>
        <w:right w:val="none" w:sz="0" w:space="0" w:color="auto"/>
      </w:divBdr>
    </w:div>
    <w:div w:id="256014498">
      <w:bodyDiv w:val="1"/>
      <w:marLeft w:val="0"/>
      <w:marRight w:val="0"/>
      <w:marTop w:val="0"/>
      <w:marBottom w:val="0"/>
      <w:divBdr>
        <w:top w:val="none" w:sz="0" w:space="0" w:color="auto"/>
        <w:left w:val="none" w:sz="0" w:space="0" w:color="auto"/>
        <w:bottom w:val="none" w:sz="0" w:space="0" w:color="auto"/>
        <w:right w:val="none" w:sz="0" w:space="0" w:color="auto"/>
      </w:divBdr>
      <w:divsChild>
        <w:div w:id="460194313">
          <w:marLeft w:val="0"/>
          <w:marRight w:val="0"/>
          <w:marTop w:val="150"/>
          <w:marBottom w:val="300"/>
          <w:divBdr>
            <w:top w:val="none" w:sz="0" w:space="0" w:color="auto"/>
            <w:left w:val="none" w:sz="0" w:space="0" w:color="auto"/>
            <w:bottom w:val="none" w:sz="0" w:space="0" w:color="auto"/>
            <w:right w:val="none" w:sz="0" w:space="0" w:color="auto"/>
          </w:divBdr>
        </w:div>
        <w:div w:id="289485060">
          <w:marLeft w:val="0"/>
          <w:marRight w:val="0"/>
          <w:marTop w:val="150"/>
          <w:marBottom w:val="300"/>
          <w:divBdr>
            <w:top w:val="none" w:sz="0" w:space="0" w:color="auto"/>
            <w:left w:val="none" w:sz="0" w:space="0" w:color="auto"/>
            <w:bottom w:val="none" w:sz="0" w:space="0" w:color="auto"/>
            <w:right w:val="none" w:sz="0" w:space="0" w:color="auto"/>
          </w:divBdr>
        </w:div>
        <w:div w:id="1110275754">
          <w:marLeft w:val="0"/>
          <w:marRight w:val="0"/>
          <w:marTop w:val="150"/>
          <w:marBottom w:val="300"/>
          <w:divBdr>
            <w:top w:val="none" w:sz="0" w:space="0" w:color="auto"/>
            <w:left w:val="none" w:sz="0" w:space="0" w:color="auto"/>
            <w:bottom w:val="none" w:sz="0" w:space="0" w:color="auto"/>
            <w:right w:val="none" w:sz="0" w:space="0" w:color="auto"/>
          </w:divBdr>
        </w:div>
      </w:divsChild>
    </w:div>
    <w:div w:id="262420306">
      <w:bodyDiv w:val="1"/>
      <w:marLeft w:val="0"/>
      <w:marRight w:val="0"/>
      <w:marTop w:val="0"/>
      <w:marBottom w:val="0"/>
      <w:divBdr>
        <w:top w:val="none" w:sz="0" w:space="0" w:color="auto"/>
        <w:left w:val="none" w:sz="0" w:space="0" w:color="auto"/>
        <w:bottom w:val="none" w:sz="0" w:space="0" w:color="auto"/>
        <w:right w:val="none" w:sz="0" w:space="0" w:color="auto"/>
      </w:divBdr>
    </w:div>
    <w:div w:id="264389859">
      <w:bodyDiv w:val="1"/>
      <w:marLeft w:val="0"/>
      <w:marRight w:val="0"/>
      <w:marTop w:val="0"/>
      <w:marBottom w:val="0"/>
      <w:divBdr>
        <w:top w:val="none" w:sz="0" w:space="0" w:color="auto"/>
        <w:left w:val="none" w:sz="0" w:space="0" w:color="auto"/>
        <w:bottom w:val="none" w:sz="0" w:space="0" w:color="auto"/>
        <w:right w:val="none" w:sz="0" w:space="0" w:color="auto"/>
      </w:divBdr>
    </w:div>
    <w:div w:id="275064003">
      <w:bodyDiv w:val="1"/>
      <w:marLeft w:val="0"/>
      <w:marRight w:val="0"/>
      <w:marTop w:val="0"/>
      <w:marBottom w:val="0"/>
      <w:divBdr>
        <w:top w:val="none" w:sz="0" w:space="0" w:color="auto"/>
        <w:left w:val="none" w:sz="0" w:space="0" w:color="auto"/>
        <w:bottom w:val="none" w:sz="0" w:space="0" w:color="auto"/>
        <w:right w:val="none" w:sz="0" w:space="0" w:color="auto"/>
      </w:divBdr>
    </w:div>
    <w:div w:id="276765007">
      <w:bodyDiv w:val="1"/>
      <w:marLeft w:val="0"/>
      <w:marRight w:val="0"/>
      <w:marTop w:val="0"/>
      <w:marBottom w:val="0"/>
      <w:divBdr>
        <w:top w:val="none" w:sz="0" w:space="0" w:color="auto"/>
        <w:left w:val="none" w:sz="0" w:space="0" w:color="auto"/>
        <w:bottom w:val="none" w:sz="0" w:space="0" w:color="auto"/>
        <w:right w:val="none" w:sz="0" w:space="0" w:color="auto"/>
      </w:divBdr>
    </w:div>
    <w:div w:id="276832848">
      <w:bodyDiv w:val="1"/>
      <w:marLeft w:val="0"/>
      <w:marRight w:val="0"/>
      <w:marTop w:val="0"/>
      <w:marBottom w:val="0"/>
      <w:divBdr>
        <w:top w:val="none" w:sz="0" w:space="0" w:color="auto"/>
        <w:left w:val="none" w:sz="0" w:space="0" w:color="auto"/>
        <w:bottom w:val="none" w:sz="0" w:space="0" w:color="auto"/>
        <w:right w:val="none" w:sz="0" w:space="0" w:color="auto"/>
      </w:divBdr>
    </w:div>
    <w:div w:id="278729457">
      <w:bodyDiv w:val="1"/>
      <w:marLeft w:val="0"/>
      <w:marRight w:val="0"/>
      <w:marTop w:val="0"/>
      <w:marBottom w:val="0"/>
      <w:divBdr>
        <w:top w:val="none" w:sz="0" w:space="0" w:color="auto"/>
        <w:left w:val="none" w:sz="0" w:space="0" w:color="auto"/>
        <w:bottom w:val="none" w:sz="0" w:space="0" w:color="auto"/>
        <w:right w:val="none" w:sz="0" w:space="0" w:color="auto"/>
      </w:divBdr>
    </w:div>
    <w:div w:id="281497076">
      <w:bodyDiv w:val="1"/>
      <w:marLeft w:val="0"/>
      <w:marRight w:val="0"/>
      <w:marTop w:val="0"/>
      <w:marBottom w:val="0"/>
      <w:divBdr>
        <w:top w:val="none" w:sz="0" w:space="0" w:color="auto"/>
        <w:left w:val="none" w:sz="0" w:space="0" w:color="auto"/>
        <w:bottom w:val="none" w:sz="0" w:space="0" w:color="auto"/>
        <w:right w:val="none" w:sz="0" w:space="0" w:color="auto"/>
      </w:divBdr>
    </w:div>
    <w:div w:id="295917493">
      <w:bodyDiv w:val="1"/>
      <w:marLeft w:val="0"/>
      <w:marRight w:val="0"/>
      <w:marTop w:val="0"/>
      <w:marBottom w:val="0"/>
      <w:divBdr>
        <w:top w:val="none" w:sz="0" w:space="0" w:color="auto"/>
        <w:left w:val="none" w:sz="0" w:space="0" w:color="auto"/>
        <w:bottom w:val="none" w:sz="0" w:space="0" w:color="auto"/>
        <w:right w:val="none" w:sz="0" w:space="0" w:color="auto"/>
      </w:divBdr>
    </w:div>
    <w:div w:id="300691086">
      <w:bodyDiv w:val="1"/>
      <w:marLeft w:val="0"/>
      <w:marRight w:val="0"/>
      <w:marTop w:val="0"/>
      <w:marBottom w:val="0"/>
      <w:divBdr>
        <w:top w:val="none" w:sz="0" w:space="0" w:color="auto"/>
        <w:left w:val="none" w:sz="0" w:space="0" w:color="auto"/>
        <w:bottom w:val="none" w:sz="0" w:space="0" w:color="auto"/>
        <w:right w:val="none" w:sz="0" w:space="0" w:color="auto"/>
      </w:divBdr>
    </w:div>
    <w:div w:id="303705029">
      <w:bodyDiv w:val="1"/>
      <w:marLeft w:val="0"/>
      <w:marRight w:val="0"/>
      <w:marTop w:val="0"/>
      <w:marBottom w:val="0"/>
      <w:divBdr>
        <w:top w:val="none" w:sz="0" w:space="0" w:color="auto"/>
        <w:left w:val="none" w:sz="0" w:space="0" w:color="auto"/>
        <w:bottom w:val="none" w:sz="0" w:space="0" w:color="auto"/>
        <w:right w:val="none" w:sz="0" w:space="0" w:color="auto"/>
      </w:divBdr>
    </w:div>
    <w:div w:id="305164660">
      <w:bodyDiv w:val="1"/>
      <w:marLeft w:val="0"/>
      <w:marRight w:val="0"/>
      <w:marTop w:val="0"/>
      <w:marBottom w:val="0"/>
      <w:divBdr>
        <w:top w:val="none" w:sz="0" w:space="0" w:color="auto"/>
        <w:left w:val="none" w:sz="0" w:space="0" w:color="auto"/>
        <w:bottom w:val="none" w:sz="0" w:space="0" w:color="auto"/>
        <w:right w:val="none" w:sz="0" w:space="0" w:color="auto"/>
      </w:divBdr>
    </w:div>
    <w:div w:id="307440061">
      <w:bodyDiv w:val="1"/>
      <w:marLeft w:val="0"/>
      <w:marRight w:val="0"/>
      <w:marTop w:val="0"/>
      <w:marBottom w:val="0"/>
      <w:divBdr>
        <w:top w:val="none" w:sz="0" w:space="0" w:color="auto"/>
        <w:left w:val="none" w:sz="0" w:space="0" w:color="auto"/>
        <w:bottom w:val="none" w:sz="0" w:space="0" w:color="auto"/>
        <w:right w:val="none" w:sz="0" w:space="0" w:color="auto"/>
      </w:divBdr>
    </w:div>
    <w:div w:id="312373595">
      <w:bodyDiv w:val="1"/>
      <w:marLeft w:val="0"/>
      <w:marRight w:val="0"/>
      <w:marTop w:val="0"/>
      <w:marBottom w:val="0"/>
      <w:divBdr>
        <w:top w:val="none" w:sz="0" w:space="0" w:color="auto"/>
        <w:left w:val="none" w:sz="0" w:space="0" w:color="auto"/>
        <w:bottom w:val="none" w:sz="0" w:space="0" w:color="auto"/>
        <w:right w:val="none" w:sz="0" w:space="0" w:color="auto"/>
      </w:divBdr>
    </w:div>
    <w:div w:id="321470049">
      <w:bodyDiv w:val="1"/>
      <w:marLeft w:val="0"/>
      <w:marRight w:val="0"/>
      <w:marTop w:val="0"/>
      <w:marBottom w:val="0"/>
      <w:divBdr>
        <w:top w:val="none" w:sz="0" w:space="0" w:color="auto"/>
        <w:left w:val="none" w:sz="0" w:space="0" w:color="auto"/>
        <w:bottom w:val="none" w:sz="0" w:space="0" w:color="auto"/>
        <w:right w:val="none" w:sz="0" w:space="0" w:color="auto"/>
      </w:divBdr>
    </w:div>
    <w:div w:id="326179563">
      <w:bodyDiv w:val="1"/>
      <w:marLeft w:val="0"/>
      <w:marRight w:val="0"/>
      <w:marTop w:val="0"/>
      <w:marBottom w:val="0"/>
      <w:divBdr>
        <w:top w:val="none" w:sz="0" w:space="0" w:color="auto"/>
        <w:left w:val="none" w:sz="0" w:space="0" w:color="auto"/>
        <w:bottom w:val="none" w:sz="0" w:space="0" w:color="auto"/>
        <w:right w:val="none" w:sz="0" w:space="0" w:color="auto"/>
      </w:divBdr>
    </w:div>
    <w:div w:id="326715872">
      <w:bodyDiv w:val="1"/>
      <w:marLeft w:val="0"/>
      <w:marRight w:val="0"/>
      <w:marTop w:val="0"/>
      <w:marBottom w:val="0"/>
      <w:divBdr>
        <w:top w:val="none" w:sz="0" w:space="0" w:color="auto"/>
        <w:left w:val="none" w:sz="0" w:space="0" w:color="auto"/>
        <w:bottom w:val="none" w:sz="0" w:space="0" w:color="auto"/>
        <w:right w:val="none" w:sz="0" w:space="0" w:color="auto"/>
      </w:divBdr>
    </w:div>
    <w:div w:id="327753550">
      <w:bodyDiv w:val="1"/>
      <w:marLeft w:val="0"/>
      <w:marRight w:val="0"/>
      <w:marTop w:val="0"/>
      <w:marBottom w:val="0"/>
      <w:divBdr>
        <w:top w:val="none" w:sz="0" w:space="0" w:color="auto"/>
        <w:left w:val="none" w:sz="0" w:space="0" w:color="auto"/>
        <w:bottom w:val="none" w:sz="0" w:space="0" w:color="auto"/>
        <w:right w:val="none" w:sz="0" w:space="0" w:color="auto"/>
      </w:divBdr>
    </w:div>
    <w:div w:id="333072776">
      <w:bodyDiv w:val="1"/>
      <w:marLeft w:val="0"/>
      <w:marRight w:val="0"/>
      <w:marTop w:val="0"/>
      <w:marBottom w:val="0"/>
      <w:divBdr>
        <w:top w:val="none" w:sz="0" w:space="0" w:color="auto"/>
        <w:left w:val="none" w:sz="0" w:space="0" w:color="auto"/>
        <w:bottom w:val="none" w:sz="0" w:space="0" w:color="auto"/>
        <w:right w:val="none" w:sz="0" w:space="0" w:color="auto"/>
      </w:divBdr>
    </w:div>
    <w:div w:id="336227348">
      <w:bodyDiv w:val="1"/>
      <w:marLeft w:val="0"/>
      <w:marRight w:val="0"/>
      <w:marTop w:val="0"/>
      <w:marBottom w:val="0"/>
      <w:divBdr>
        <w:top w:val="none" w:sz="0" w:space="0" w:color="auto"/>
        <w:left w:val="none" w:sz="0" w:space="0" w:color="auto"/>
        <w:bottom w:val="none" w:sz="0" w:space="0" w:color="auto"/>
        <w:right w:val="none" w:sz="0" w:space="0" w:color="auto"/>
      </w:divBdr>
    </w:div>
    <w:div w:id="340740922">
      <w:bodyDiv w:val="1"/>
      <w:marLeft w:val="0"/>
      <w:marRight w:val="0"/>
      <w:marTop w:val="0"/>
      <w:marBottom w:val="0"/>
      <w:divBdr>
        <w:top w:val="none" w:sz="0" w:space="0" w:color="auto"/>
        <w:left w:val="none" w:sz="0" w:space="0" w:color="auto"/>
        <w:bottom w:val="none" w:sz="0" w:space="0" w:color="auto"/>
        <w:right w:val="none" w:sz="0" w:space="0" w:color="auto"/>
      </w:divBdr>
    </w:div>
    <w:div w:id="341393951">
      <w:bodyDiv w:val="1"/>
      <w:marLeft w:val="0"/>
      <w:marRight w:val="0"/>
      <w:marTop w:val="0"/>
      <w:marBottom w:val="0"/>
      <w:divBdr>
        <w:top w:val="none" w:sz="0" w:space="0" w:color="auto"/>
        <w:left w:val="none" w:sz="0" w:space="0" w:color="auto"/>
        <w:bottom w:val="none" w:sz="0" w:space="0" w:color="auto"/>
        <w:right w:val="none" w:sz="0" w:space="0" w:color="auto"/>
      </w:divBdr>
    </w:div>
    <w:div w:id="349993985">
      <w:bodyDiv w:val="1"/>
      <w:marLeft w:val="0"/>
      <w:marRight w:val="0"/>
      <w:marTop w:val="0"/>
      <w:marBottom w:val="0"/>
      <w:divBdr>
        <w:top w:val="none" w:sz="0" w:space="0" w:color="auto"/>
        <w:left w:val="none" w:sz="0" w:space="0" w:color="auto"/>
        <w:bottom w:val="none" w:sz="0" w:space="0" w:color="auto"/>
        <w:right w:val="none" w:sz="0" w:space="0" w:color="auto"/>
      </w:divBdr>
    </w:div>
    <w:div w:id="351345227">
      <w:bodyDiv w:val="1"/>
      <w:marLeft w:val="0"/>
      <w:marRight w:val="0"/>
      <w:marTop w:val="0"/>
      <w:marBottom w:val="0"/>
      <w:divBdr>
        <w:top w:val="none" w:sz="0" w:space="0" w:color="auto"/>
        <w:left w:val="none" w:sz="0" w:space="0" w:color="auto"/>
        <w:bottom w:val="none" w:sz="0" w:space="0" w:color="auto"/>
        <w:right w:val="none" w:sz="0" w:space="0" w:color="auto"/>
      </w:divBdr>
    </w:div>
    <w:div w:id="360010782">
      <w:bodyDiv w:val="1"/>
      <w:marLeft w:val="0"/>
      <w:marRight w:val="0"/>
      <w:marTop w:val="0"/>
      <w:marBottom w:val="0"/>
      <w:divBdr>
        <w:top w:val="none" w:sz="0" w:space="0" w:color="auto"/>
        <w:left w:val="none" w:sz="0" w:space="0" w:color="auto"/>
        <w:bottom w:val="none" w:sz="0" w:space="0" w:color="auto"/>
        <w:right w:val="none" w:sz="0" w:space="0" w:color="auto"/>
      </w:divBdr>
    </w:div>
    <w:div w:id="362170835">
      <w:bodyDiv w:val="1"/>
      <w:marLeft w:val="0"/>
      <w:marRight w:val="0"/>
      <w:marTop w:val="0"/>
      <w:marBottom w:val="0"/>
      <w:divBdr>
        <w:top w:val="none" w:sz="0" w:space="0" w:color="auto"/>
        <w:left w:val="none" w:sz="0" w:space="0" w:color="auto"/>
        <w:bottom w:val="none" w:sz="0" w:space="0" w:color="auto"/>
        <w:right w:val="none" w:sz="0" w:space="0" w:color="auto"/>
      </w:divBdr>
    </w:div>
    <w:div w:id="362368344">
      <w:bodyDiv w:val="1"/>
      <w:marLeft w:val="0"/>
      <w:marRight w:val="0"/>
      <w:marTop w:val="0"/>
      <w:marBottom w:val="0"/>
      <w:divBdr>
        <w:top w:val="none" w:sz="0" w:space="0" w:color="auto"/>
        <w:left w:val="none" w:sz="0" w:space="0" w:color="auto"/>
        <w:bottom w:val="none" w:sz="0" w:space="0" w:color="auto"/>
        <w:right w:val="none" w:sz="0" w:space="0" w:color="auto"/>
      </w:divBdr>
    </w:div>
    <w:div w:id="362483521">
      <w:bodyDiv w:val="1"/>
      <w:marLeft w:val="0"/>
      <w:marRight w:val="0"/>
      <w:marTop w:val="0"/>
      <w:marBottom w:val="0"/>
      <w:divBdr>
        <w:top w:val="none" w:sz="0" w:space="0" w:color="auto"/>
        <w:left w:val="none" w:sz="0" w:space="0" w:color="auto"/>
        <w:bottom w:val="none" w:sz="0" w:space="0" w:color="auto"/>
        <w:right w:val="none" w:sz="0" w:space="0" w:color="auto"/>
      </w:divBdr>
    </w:div>
    <w:div w:id="371349437">
      <w:bodyDiv w:val="1"/>
      <w:marLeft w:val="0"/>
      <w:marRight w:val="0"/>
      <w:marTop w:val="0"/>
      <w:marBottom w:val="0"/>
      <w:divBdr>
        <w:top w:val="none" w:sz="0" w:space="0" w:color="auto"/>
        <w:left w:val="none" w:sz="0" w:space="0" w:color="auto"/>
        <w:bottom w:val="none" w:sz="0" w:space="0" w:color="auto"/>
        <w:right w:val="none" w:sz="0" w:space="0" w:color="auto"/>
      </w:divBdr>
    </w:div>
    <w:div w:id="375087230">
      <w:bodyDiv w:val="1"/>
      <w:marLeft w:val="0"/>
      <w:marRight w:val="0"/>
      <w:marTop w:val="0"/>
      <w:marBottom w:val="0"/>
      <w:divBdr>
        <w:top w:val="none" w:sz="0" w:space="0" w:color="auto"/>
        <w:left w:val="none" w:sz="0" w:space="0" w:color="auto"/>
        <w:bottom w:val="none" w:sz="0" w:space="0" w:color="auto"/>
        <w:right w:val="none" w:sz="0" w:space="0" w:color="auto"/>
      </w:divBdr>
    </w:div>
    <w:div w:id="376127814">
      <w:bodyDiv w:val="1"/>
      <w:marLeft w:val="0"/>
      <w:marRight w:val="0"/>
      <w:marTop w:val="0"/>
      <w:marBottom w:val="0"/>
      <w:divBdr>
        <w:top w:val="none" w:sz="0" w:space="0" w:color="auto"/>
        <w:left w:val="none" w:sz="0" w:space="0" w:color="auto"/>
        <w:bottom w:val="none" w:sz="0" w:space="0" w:color="auto"/>
        <w:right w:val="none" w:sz="0" w:space="0" w:color="auto"/>
      </w:divBdr>
    </w:div>
    <w:div w:id="386539003">
      <w:bodyDiv w:val="1"/>
      <w:marLeft w:val="0"/>
      <w:marRight w:val="0"/>
      <w:marTop w:val="0"/>
      <w:marBottom w:val="0"/>
      <w:divBdr>
        <w:top w:val="none" w:sz="0" w:space="0" w:color="auto"/>
        <w:left w:val="none" w:sz="0" w:space="0" w:color="auto"/>
        <w:bottom w:val="none" w:sz="0" w:space="0" w:color="auto"/>
        <w:right w:val="none" w:sz="0" w:space="0" w:color="auto"/>
      </w:divBdr>
    </w:div>
    <w:div w:id="397750804">
      <w:bodyDiv w:val="1"/>
      <w:marLeft w:val="0"/>
      <w:marRight w:val="0"/>
      <w:marTop w:val="0"/>
      <w:marBottom w:val="0"/>
      <w:divBdr>
        <w:top w:val="none" w:sz="0" w:space="0" w:color="auto"/>
        <w:left w:val="none" w:sz="0" w:space="0" w:color="auto"/>
        <w:bottom w:val="none" w:sz="0" w:space="0" w:color="auto"/>
        <w:right w:val="none" w:sz="0" w:space="0" w:color="auto"/>
      </w:divBdr>
    </w:div>
    <w:div w:id="397900024">
      <w:bodyDiv w:val="1"/>
      <w:marLeft w:val="0"/>
      <w:marRight w:val="0"/>
      <w:marTop w:val="0"/>
      <w:marBottom w:val="0"/>
      <w:divBdr>
        <w:top w:val="none" w:sz="0" w:space="0" w:color="auto"/>
        <w:left w:val="none" w:sz="0" w:space="0" w:color="auto"/>
        <w:bottom w:val="none" w:sz="0" w:space="0" w:color="auto"/>
        <w:right w:val="none" w:sz="0" w:space="0" w:color="auto"/>
      </w:divBdr>
    </w:div>
    <w:div w:id="402990215">
      <w:bodyDiv w:val="1"/>
      <w:marLeft w:val="0"/>
      <w:marRight w:val="0"/>
      <w:marTop w:val="0"/>
      <w:marBottom w:val="0"/>
      <w:divBdr>
        <w:top w:val="none" w:sz="0" w:space="0" w:color="auto"/>
        <w:left w:val="none" w:sz="0" w:space="0" w:color="auto"/>
        <w:bottom w:val="none" w:sz="0" w:space="0" w:color="auto"/>
        <w:right w:val="none" w:sz="0" w:space="0" w:color="auto"/>
      </w:divBdr>
    </w:div>
    <w:div w:id="403256398">
      <w:bodyDiv w:val="1"/>
      <w:marLeft w:val="0"/>
      <w:marRight w:val="0"/>
      <w:marTop w:val="0"/>
      <w:marBottom w:val="0"/>
      <w:divBdr>
        <w:top w:val="none" w:sz="0" w:space="0" w:color="auto"/>
        <w:left w:val="none" w:sz="0" w:space="0" w:color="auto"/>
        <w:bottom w:val="none" w:sz="0" w:space="0" w:color="auto"/>
        <w:right w:val="none" w:sz="0" w:space="0" w:color="auto"/>
      </w:divBdr>
    </w:div>
    <w:div w:id="403651333">
      <w:bodyDiv w:val="1"/>
      <w:marLeft w:val="0"/>
      <w:marRight w:val="0"/>
      <w:marTop w:val="0"/>
      <w:marBottom w:val="0"/>
      <w:divBdr>
        <w:top w:val="none" w:sz="0" w:space="0" w:color="auto"/>
        <w:left w:val="none" w:sz="0" w:space="0" w:color="auto"/>
        <w:bottom w:val="none" w:sz="0" w:space="0" w:color="auto"/>
        <w:right w:val="none" w:sz="0" w:space="0" w:color="auto"/>
      </w:divBdr>
    </w:div>
    <w:div w:id="419328851">
      <w:bodyDiv w:val="1"/>
      <w:marLeft w:val="0"/>
      <w:marRight w:val="0"/>
      <w:marTop w:val="0"/>
      <w:marBottom w:val="0"/>
      <w:divBdr>
        <w:top w:val="none" w:sz="0" w:space="0" w:color="auto"/>
        <w:left w:val="none" w:sz="0" w:space="0" w:color="auto"/>
        <w:bottom w:val="none" w:sz="0" w:space="0" w:color="auto"/>
        <w:right w:val="none" w:sz="0" w:space="0" w:color="auto"/>
      </w:divBdr>
    </w:div>
    <w:div w:id="419720912">
      <w:bodyDiv w:val="1"/>
      <w:marLeft w:val="0"/>
      <w:marRight w:val="0"/>
      <w:marTop w:val="0"/>
      <w:marBottom w:val="0"/>
      <w:divBdr>
        <w:top w:val="none" w:sz="0" w:space="0" w:color="auto"/>
        <w:left w:val="none" w:sz="0" w:space="0" w:color="auto"/>
        <w:bottom w:val="none" w:sz="0" w:space="0" w:color="auto"/>
        <w:right w:val="none" w:sz="0" w:space="0" w:color="auto"/>
      </w:divBdr>
    </w:div>
    <w:div w:id="421027542">
      <w:bodyDiv w:val="1"/>
      <w:marLeft w:val="0"/>
      <w:marRight w:val="0"/>
      <w:marTop w:val="0"/>
      <w:marBottom w:val="0"/>
      <w:divBdr>
        <w:top w:val="none" w:sz="0" w:space="0" w:color="auto"/>
        <w:left w:val="none" w:sz="0" w:space="0" w:color="auto"/>
        <w:bottom w:val="none" w:sz="0" w:space="0" w:color="auto"/>
        <w:right w:val="none" w:sz="0" w:space="0" w:color="auto"/>
      </w:divBdr>
    </w:div>
    <w:div w:id="431820397">
      <w:bodyDiv w:val="1"/>
      <w:marLeft w:val="0"/>
      <w:marRight w:val="0"/>
      <w:marTop w:val="0"/>
      <w:marBottom w:val="0"/>
      <w:divBdr>
        <w:top w:val="none" w:sz="0" w:space="0" w:color="auto"/>
        <w:left w:val="none" w:sz="0" w:space="0" w:color="auto"/>
        <w:bottom w:val="none" w:sz="0" w:space="0" w:color="auto"/>
        <w:right w:val="none" w:sz="0" w:space="0" w:color="auto"/>
      </w:divBdr>
    </w:div>
    <w:div w:id="432476614">
      <w:bodyDiv w:val="1"/>
      <w:marLeft w:val="0"/>
      <w:marRight w:val="0"/>
      <w:marTop w:val="0"/>
      <w:marBottom w:val="0"/>
      <w:divBdr>
        <w:top w:val="none" w:sz="0" w:space="0" w:color="auto"/>
        <w:left w:val="none" w:sz="0" w:space="0" w:color="auto"/>
        <w:bottom w:val="none" w:sz="0" w:space="0" w:color="auto"/>
        <w:right w:val="none" w:sz="0" w:space="0" w:color="auto"/>
      </w:divBdr>
    </w:div>
    <w:div w:id="433986843">
      <w:bodyDiv w:val="1"/>
      <w:marLeft w:val="0"/>
      <w:marRight w:val="0"/>
      <w:marTop w:val="0"/>
      <w:marBottom w:val="0"/>
      <w:divBdr>
        <w:top w:val="none" w:sz="0" w:space="0" w:color="auto"/>
        <w:left w:val="none" w:sz="0" w:space="0" w:color="auto"/>
        <w:bottom w:val="none" w:sz="0" w:space="0" w:color="auto"/>
        <w:right w:val="none" w:sz="0" w:space="0" w:color="auto"/>
      </w:divBdr>
    </w:div>
    <w:div w:id="434713173">
      <w:bodyDiv w:val="1"/>
      <w:marLeft w:val="0"/>
      <w:marRight w:val="0"/>
      <w:marTop w:val="0"/>
      <w:marBottom w:val="0"/>
      <w:divBdr>
        <w:top w:val="none" w:sz="0" w:space="0" w:color="auto"/>
        <w:left w:val="none" w:sz="0" w:space="0" w:color="auto"/>
        <w:bottom w:val="none" w:sz="0" w:space="0" w:color="auto"/>
        <w:right w:val="none" w:sz="0" w:space="0" w:color="auto"/>
      </w:divBdr>
    </w:div>
    <w:div w:id="436147315">
      <w:bodyDiv w:val="1"/>
      <w:marLeft w:val="0"/>
      <w:marRight w:val="0"/>
      <w:marTop w:val="0"/>
      <w:marBottom w:val="0"/>
      <w:divBdr>
        <w:top w:val="none" w:sz="0" w:space="0" w:color="auto"/>
        <w:left w:val="none" w:sz="0" w:space="0" w:color="auto"/>
        <w:bottom w:val="none" w:sz="0" w:space="0" w:color="auto"/>
        <w:right w:val="none" w:sz="0" w:space="0" w:color="auto"/>
      </w:divBdr>
    </w:div>
    <w:div w:id="439419068">
      <w:bodyDiv w:val="1"/>
      <w:marLeft w:val="0"/>
      <w:marRight w:val="0"/>
      <w:marTop w:val="0"/>
      <w:marBottom w:val="0"/>
      <w:divBdr>
        <w:top w:val="none" w:sz="0" w:space="0" w:color="auto"/>
        <w:left w:val="none" w:sz="0" w:space="0" w:color="auto"/>
        <w:bottom w:val="none" w:sz="0" w:space="0" w:color="auto"/>
        <w:right w:val="none" w:sz="0" w:space="0" w:color="auto"/>
      </w:divBdr>
      <w:divsChild>
        <w:div w:id="1255481643">
          <w:marLeft w:val="274"/>
          <w:marRight w:val="0"/>
          <w:marTop w:val="0"/>
          <w:marBottom w:val="0"/>
          <w:divBdr>
            <w:top w:val="none" w:sz="0" w:space="0" w:color="auto"/>
            <w:left w:val="none" w:sz="0" w:space="0" w:color="auto"/>
            <w:bottom w:val="none" w:sz="0" w:space="0" w:color="auto"/>
            <w:right w:val="none" w:sz="0" w:space="0" w:color="auto"/>
          </w:divBdr>
        </w:div>
        <w:div w:id="705059609">
          <w:marLeft w:val="274"/>
          <w:marRight w:val="0"/>
          <w:marTop w:val="0"/>
          <w:marBottom w:val="0"/>
          <w:divBdr>
            <w:top w:val="none" w:sz="0" w:space="0" w:color="auto"/>
            <w:left w:val="none" w:sz="0" w:space="0" w:color="auto"/>
            <w:bottom w:val="none" w:sz="0" w:space="0" w:color="auto"/>
            <w:right w:val="none" w:sz="0" w:space="0" w:color="auto"/>
          </w:divBdr>
        </w:div>
        <w:div w:id="1484277951">
          <w:marLeft w:val="274"/>
          <w:marRight w:val="0"/>
          <w:marTop w:val="0"/>
          <w:marBottom w:val="0"/>
          <w:divBdr>
            <w:top w:val="none" w:sz="0" w:space="0" w:color="auto"/>
            <w:left w:val="none" w:sz="0" w:space="0" w:color="auto"/>
            <w:bottom w:val="none" w:sz="0" w:space="0" w:color="auto"/>
            <w:right w:val="none" w:sz="0" w:space="0" w:color="auto"/>
          </w:divBdr>
        </w:div>
        <w:div w:id="3631159">
          <w:marLeft w:val="274"/>
          <w:marRight w:val="0"/>
          <w:marTop w:val="0"/>
          <w:marBottom w:val="0"/>
          <w:divBdr>
            <w:top w:val="none" w:sz="0" w:space="0" w:color="auto"/>
            <w:left w:val="none" w:sz="0" w:space="0" w:color="auto"/>
            <w:bottom w:val="none" w:sz="0" w:space="0" w:color="auto"/>
            <w:right w:val="none" w:sz="0" w:space="0" w:color="auto"/>
          </w:divBdr>
        </w:div>
      </w:divsChild>
    </w:div>
    <w:div w:id="451748284">
      <w:bodyDiv w:val="1"/>
      <w:marLeft w:val="0"/>
      <w:marRight w:val="0"/>
      <w:marTop w:val="0"/>
      <w:marBottom w:val="0"/>
      <w:divBdr>
        <w:top w:val="none" w:sz="0" w:space="0" w:color="auto"/>
        <w:left w:val="none" w:sz="0" w:space="0" w:color="auto"/>
        <w:bottom w:val="none" w:sz="0" w:space="0" w:color="auto"/>
        <w:right w:val="none" w:sz="0" w:space="0" w:color="auto"/>
      </w:divBdr>
    </w:div>
    <w:div w:id="453522383">
      <w:bodyDiv w:val="1"/>
      <w:marLeft w:val="0"/>
      <w:marRight w:val="0"/>
      <w:marTop w:val="0"/>
      <w:marBottom w:val="0"/>
      <w:divBdr>
        <w:top w:val="none" w:sz="0" w:space="0" w:color="auto"/>
        <w:left w:val="none" w:sz="0" w:space="0" w:color="auto"/>
        <w:bottom w:val="none" w:sz="0" w:space="0" w:color="auto"/>
        <w:right w:val="none" w:sz="0" w:space="0" w:color="auto"/>
      </w:divBdr>
    </w:div>
    <w:div w:id="467627472">
      <w:bodyDiv w:val="1"/>
      <w:marLeft w:val="0"/>
      <w:marRight w:val="0"/>
      <w:marTop w:val="0"/>
      <w:marBottom w:val="0"/>
      <w:divBdr>
        <w:top w:val="none" w:sz="0" w:space="0" w:color="auto"/>
        <w:left w:val="none" w:sz="0" w:space="0" w:color="auto"/>
        <w:bottom w:val="none" w:sz="0" w:space="0" w:color="auto"/>
        <w:right w:val="none" w:sz="0" w:space="0" w:color="auto"/>
      </w:divBdr>
    </w:div>
    <w:div w:id="476148749">
      <w:bodyDiv w:val="1"/>
      <w:marLeft w:val="0"/>
      <w:marRight w:val="0"/>
      <w:marTop w:val="0"/>
      <w:marBottom w:val="0"/>
      <w:divBdr>
        <w:top w:val="none" w:sz="0" w:space="0" w:color="auto"/>
        <w:left w:val="none" w:sz="0" w:space="0" w:color="auto"/>
        <w:bottom w:val="none" w:sz="0" w:space="0" w:color="auto"/>
        <w:right w:val="none" w:sz="0" w:space="0" w:color="auto"/>
      </w:divBdr>
    </w:div>
    <w:div w:id="482966522">
      <w:bodyDiv w:val="1"/>
      <w:marLeft w:val="0"/>
      <w:marRight w:val="0"/>
      <w:marTop w:val="0"/>
      <w:marBottom w:val="0"/>
      <w:divBdr>
        <w:top w:val="none" w:sz="0" w:space="0" w:color="auto"/>
        <w:left w:val="none" w:sz="0" w:space="0" w:color="auto"/>
        <w:bottom w:val="none" w:sz="0" w:space="0" w:color="auto"/>
        <w:right w:val="none" w:sz="0" w:space="0" w:color="auto"/>
      </w:divBdr>
    </w:div>
    <w:div w:id="488446276">
      <w:bodyDiv w:val="1"/>
      <w:marLeft w:val="0"/>
      <w:marRight w:val="0"/>
      <w:marTop w:val="0"/>
      <w:marBottom w:val="0"/>
      <w:divBdr>
        <w:top w:val="none" w:sz="0" w:space="0" w:color="auto"/>
        <w:left w:val="none" w:sz="0" w:space="0" w:color="auto"/>
        <w:bottom w:val="none" w:sz="0" w:space="0" w:color="auto"/>
        <w:right w:val="none" w:sz="0" w:space="0" w:color="auto"/>
      </w:divBdr>
    </w:div>
    <w:div w:id="492794683">
      <w:bodyDiv w:val="1"/>
      <w:marLeft w:val="0"/>
      <w:marRight w:val="0"/>
      <w:marTop w:val="0"/>
      <w:marBottom w:val="0"/>
      <w:divBdr>
        <w:top w:val="none" w:sz="0" w:space="0" w:color="auto"/>
        <w:left w:val="none" w:sz="0" w:space="0" w:color="auto"/>
        <w:bottom w:val="none" w:sz="0" w:space="0" w:color="auto"/>
        <w:right w:val="none" w:sz="0" w:space="0" w:color="auto"/>
      </w:divBdr>
    </w:div>
    <w:div w:id="493961643">
      <w:bodyDiv w:val="1"/>
      <w:marLeft w:val="0"/>
      <w:marRight w:val="0"/>
      <w:marTop w:val="0"/>
      <w:marBottom w:val="0"/>
      <w:divBdr>
        <w:top w:val="none" w:sz="0" w:space="0" w:color="auto"/>
        <w:left w:val="none" w:sz="0" w:space="0" w:color="auto"/>
        <w:bottom w:val="none" w:sz="0" w:space="0" w:color="auto"/>
        <w:right w:val="none" w:sz="0" w:space="0" w:color="auto"/>
      </w:divBdr>
    </w:div>
    <w:div w:id="499974576">
      <w:bodyDiv w:val="1"/>
      <w:marLeft w:val="0"/>
      <w:marRight w:val="0"/>
      <w:marTop w:val="0"/>
      <w:marBottom w:val="0"/>
      <w:divBdr>
        <w:top w:val="none" w:sz="0" w:space="0" w:color="auto"/>
        <w:left w:val="none" w:sz="0" w:space="0" w:color="auto"/>
        <w:bottom w:val="none" w:sz="0" w:space="0" w:color="auto"/>
        <w:right w:val="none" w:sz="0" w:space="0" w:color="auto"/>
      </w:divBdr>
    </w:div>
    <w:div w:id="500583634">
      <w:bodyDiv w:val="1"/>
      <w:marLeft w:val="0"/>
      <w:marRight w:val="0"/>
      <w:marTop w:val="0"/>
      <w:marBottom w:val="0"/>
      <w:divBdr>
        <w:top w:val="none" w:sz="0" w:space="0" w:color="auto"/>
        <w:left w:val="none" w:sz="0" w:space="0" w:color="auto"/>
        <w:bottom w:val="none" w:sz="0" w:space="0" w:color="auto"/>
        <w:right w:val="none" w:sz="0" w:space="0" w:color="auto"/>
      </w:divBdr>
    </w:div>
    <w:div w:id="505370027">
      <w:bodyDiv w:val="1"/>
      <w:marLeft w:val="0"/>
      <w:marRight w:val="0"/>
      <w:marTop w:val="0"/>
      <w:marBottom w:val="0"/>
      <w:divBdr>
        <w:top w:val="none" w:sz="0" w:space="0" w:color="auto"/>
        <w:left w:val="none" w:sz="0" w:space="0" w:color="auto"/>
        <w:bottom w:val="none" w:sz="0" w:space="0" w:color="auto"/>
        <w:right w:val="none" w:sz="0" w:space="0" w:color="auto"/>
      </w:divBdr>
    </w:div>
    <w:div w:id="507259751">
      <w:bodyDiv w:val="1"/>
      <w:marLeft w:val="0"/>
      <w:marRight w:val="0"/>
      <w:marTop w:val="0"/>
      <w:marBottom w:val="0"/>
      <w:divBdr>
        <w:top w:val="none" w:sz="0" w:space="0" w:color="auto"/>
        <w:left w:val="none" w:sz="0" w:space="0" w:color="auto"/>
        <w:bottom w:val="none" w:sz="0" w:space="0" w:color="auto"/>
        <w:right w:val="none" w:sz="0" w:space="0" w:color="auto"/>
      </w:divBdr>
    </w:div>
    <w:div w:id="508327078">
      <w:bodyDiv w:val="1"/>
      <w:marLeft w:val="0"/>
      <w:marRight w:val="0"/>
      <w:marTop w:val="0"/>
      <w:marBottom w:val="0"/>
      <w:divBdr>
        <w:top w:val="none" w:sz="0" w:space="0" w:color="auto"/>
        <w:left w:val="none" w:sz="0" w:space="0" w:color="auto"/>
        <w:bottom w:val="none" w:sz="0" w:space="0" w:color="auto"/>
        <w:right w:val="none" w:sz="0" w:space="0" w:color="auto"/>
      </w:divBdr>
    </w:div>
    <w:div w:id="509102042">
      <w:bodyDiv w:val="1"/>
      <w:marLeft w:val="0"/>
      <w:marRight w:val="0"/>
      <w:marTop w:val="0"/>
      <w:marBottom w:val="0"/>
      <w:divBdr>
        <w:top w:val="none" w:sz="0" w:space="0" w:color="auto"/>
        <w:left w:val="none" w:sz="0" w:space="0" w:color="auto"/>
        <w:bottom w:val="none" w:sz="0" w:space="0" w:color="auto"/>
        <w:right w:val="none" w:sz="0" w:space="0" w:color="auto"/>
      </w:divBdr>
    </w:div>
    <w:div w:id="516623812">
      <w:bodyDiv w:val="1"/>
      <w:marLeft w:val="0"/>
      <w:marRight w:val="0"/>
      <w:marTop w:val="0"/>
      <w:marBottom w:val="0"/>
      <w:divBdr>
        <w:top w:val="none" w:sz="0" w:space="0" w:color="auto"/>
        <w:left w:val="none" w:sz="0" w:space="0" w:color="auto"/>
        <w:bottom w:val="none" w:sz="0" w:space="0" w:color="auto"/>
        <w:right w:val="none" w:sz="0" w:space="0" w:color="auto"/>
      </w:divBdr>
    </w:div>
    <w:div w:id="516844531">
      <w:bodyDiv w:val="1"/>
      <w:marLeft w:val="0"/>
      <w:marRight w:val="0"/>
      <w:marTop w:val="0"/>
      <w:marBottom w:val="0"/>
      <w:divBdr>
        <w:top w:val="none" w:sz="0" w:space="0" w:color="auto"/>
        <w:left w:val="none" w:sz="0" w:space="0" w:color="auto"/>
        <w:bottom w:val="none" w:sz="0" w:space="0" w:color="auto"/>
        <w:right w:val="none" w:sz="0" w:space="0" w:color="auto"/>
      </w:divBdr>
    </w:div>
    <w:div w:id="517617183">
      <w:bodyDiv w:val="1"/>
      <w:marLeft w:val="0"/>
      <w:marRight w:val="0"/>
      <w:marTop w:val="0"/>
      <w:marBottom w:val="0"/>
      <w:divBdr>
        <w:top w:val="none" w:sz="0" w:space="0" w:color="auto"/>
        <w:left w:val="none" w:sz="0" w:space="0" w:color="auto"/>
        <w:bottom w:val="none" w:sz="0" w:space="0" w:color="auto"/>
        <w:right w:val="none" w:sz="0" w:space="0" w:color="auto"/>
      </w:divBdr>
    </w:div>
    <w:div w:id="518275762">
      <w:bodyDiv w:val="1"/>
      <w:marLeft w:val="0"/>
      <w:marRight w:val="0"/>
      <w:marTop w:val="0"/>
      <w:marBottom w:val="0"/>
      <w:divBdr>
        <w:top w:val="none" w:sz="0" w:space="0" w:color="auto"/>
        <w:left w:val="none" w:sz="0" w:space="0" w:color="auto"/>
        <w:bottom w:val="none" w:sz="0" w:space="0" w:color="auto"/>
        <w:right w:val="none" w:sz="0" w:space="0" w:color="auto"/>
      </w:divBdr>
    </w:div>
    <w:div w:id="523251053">
      <w:bodyDiv w:val="1"/>
      <w:marLeft w:val="0"/>
      <w:marRight w:val="0"/>
      <w:marTop w:val="0"/>
      <w:marBottom w:val="0"/>
      <w:divBdr>
        <w:top w:val="none" w:sz="0" w:space="0" w:color="auto"/>
        <w:left w:val="none" w:sz="0" w:space="0" w:color="auto"/>
        <w:bottom w:val="none" w:sz="0" w:space="0" w:color="auto"/>
        <w:right w:val="none" w:sz="0" w:space="0" w:color="auto"/>
      </w:divBdr>
    </w:div>
    <w:div w:id="534586111">
      <w:bodyDiv w:val="1"/>
      <w:marLeft w:val="0"/>
      <w:marRight w:val="0"/>
      <w:marTop w:val="0"/>
      <w:marBottom w:val="0"/>
      <w:divBdr>
        <w:top w:val="none" w:sz="0" w:space="0" w:color="auto"/>
        <w:left w:val="none" w:sz="0" w:space="0" w:color="auto"/>
        <w:bottom w:val="none" w:sz="0" w:space="0" w:color="auto"/>
        <w:right w:val="none" w:sz="0" w:space="0" w:color="auto"/>
      </w:divBdr>
    </w:div>
    <w:div w:id="540365575">
      <w:bodyDiv w:val="1"/>
      <w:marLeft w:val="0"/>
      <w:marRight w:val="0"/>
      <w:marTop w:val="0"/>
      <w:marBottom w:val="0"/>
      <w:divBdr>
        <w:top w:val="none" w:sz="0" w:space="0" w:color="auto"/>
        <w:left w:val="none" w:sz="0" w:space="0" w:color="auto"/>
        <w:bottom w:val="none" w:sz="0" w:space="0" w:color="auto"/>
        <w:right w:val="none" w:sz="0" w:space="0" w:color="auto"/>
      </w:divBdr>
    </w:div>
    <w:div w:id="544022718">
      <w:bodyDiv w:val="1"/>
      <w:marLeft w:val="0"/>
      <w:marRight w:val="0"/>
      <w:marTop w:val="0"/>
      <w:marBottom w:val="0"/>
      <w:divBdr>
        <w:top w:val="none" w:sz="0" w:space="0" w:color="auto"/>
        <w:left w:val="none" w:sz="0" w:space="0" w:color="auto"/>
        <w:bottom w:val="none" w:sz="0" w:space="0" w:color="auto"/>
        <w:right w:val="none" w:sz="0" w:space="0" w:color="auto"/>
      </w:divBdr>
    </w:div>
    <w:div w:id="551694319">
      <w:bodyDiv w:val="1"/>
      <w:marLeft w:val="0"/>
      <w:marRight w:val="0"/>
      <w:marTop w:val="0"/>
      <w:marBottom w:val="0"/>
      <w:divBdr>
        <w:top w:val="none" w:sz="0" w:space="0" w:color="auto"/>
        <w:left w:val="none" w:sz="0" w:space="0" w:color="auto"/>
        <w:bottom w:val="none" w:sz="0" w:space="0" w:color="auto"/>
        <w:right w:val="none" w:sz="0" w:space="0" w:color="auto"/>
      </w:divBdr>
    </w:div>
    <w:div w:id="557203216">
      <w:bodyDiv w:val="1"/>
      <w:marLeft w:val="0"/>
      <w:marRight w:val="0"/>
      <w:marTop w:val="0"/>
      <w:marBottom w:val="0"/>
      <w:divBdr>
        <w:top w:val="none" w:sz="0" w:space="0" w:color="auto"/>
        <w:left w:val="none" w:sz="0" w:space="0" w:color="auto"/>
        <w:bottom w:val="none" w:sz="0" w:space="0" w:color="auto"/>
        <w:right w:val="none" w:sz="0" w:space="0" w:color="auto"/>
      </w:divBdr>
    </w:div>
    <w:div w:id="557933437">
      <w:bodyDiv w:val="1"/>
      <w:marLeft w:val="0"/>
      <w:marRight w:val="0"/>
      <w:marTop w:val="0"/>
      <w:marBottom w:val="0"/>
      <w:divBdr>
        <w:top w:val="none" w:sz="0" w:space="0" w:color="auto"/>
        <w:left w:val="none" w:sz="0" w:space="0" w:color="auto"/>
        <w:bottom w:val="none" w:sz="0" w:space="0" w:color="auto"/>
        <w:right w:val="none" w:sz="0" w:space="0" w:color="auto"/>
      </w:divBdr>
    </w:div>
    <w:div w:id="559826894">
      <w:bodyDiv w:val="1"/>
      <w:marLeft w:val="0"/>
      <w:marRight w:val="0"/>
      <w:marTop w:val="0"/>
      <w:marBottom w:val="0"/>
      <w:divBdr>
        <w:top w:val="none" w:sz="0" w:space="0" w:color="auto"/>
        <w:left w:val="none" w:sz="0" w:space="0" w:color="auto"/>
        <w:bottom w:val="none" w:sz="0" w:space="0" w:color="auto"/>
        <w:right w:val="none" w:sz="0" w:space="0" w:color="auto"/>
      </w:divBdr>
    </w:div>
    <w:div w:id="570041947">
      <w:bodyDiv w:val="1"/>
      <w:marLeft w:val="0"/>
      <w:marRight w:val="0"/>
      <w:marTop w:val="0"/>
      <w:marBottom w:val="0"/>
      <w:divBdr>
        <w:top w:val="none" w:sz="0" w:space="0" w:color="auto"/>
        <w:left w:val="none" w:sz="0" w:space="0" w:color="auto"/>
        <w:bottom w:val="none" w:sz="0" w:space="0" w:color="auto"/>
        <w:right w:val="none" w:sz="0" w:space="0" w:color="auto"/>
      </w:divBdr>
    </w:div>
    <w:div w:id="594365601">
      <w:bodyDiv w:val="1"/>
      <w:marLeft w:val="0"/>
      <w:marRight w:val="0"/>
      <w:marTop w:val="0"/>
      <w:marBottom w:val="0"/>
      <w:divBdr>
        <w:top w:val="none" w:sz="0" w:space="0" w:color="auto"/>
        <w:left w:val="none" w:sz="0" w:space="0" w:color="auto"/>
        <w:bottom w:val="none" w:sz="0" w:space="0" w:color="auto"/>
        <w:right w:val="none" w:sz="0" w:space="0" w:color="auto"/>
      </w:divBdr>
    </w:div>
    <w:div w:id="603345603">
      <w:bodyDiv w:val="1"/>
      <w:marLeft w:val="0"/>
      <w:marRight w:val="0"/>
      <w:marTop w:val="0"/>
      <w:marBottom w:val="0"/>
      <w:divBdr>
        <w:top w:val="none" w:sz="0" w:space="0" w:color="auto"/>
        <w:left w:val="none" w:sz="0" w:space="0" w:color="auto"/>
        <w:bottom w:val="none" w:sz="0" w:space="0" w:color="auto"/>
        <w:right w:val="none" w:sz="0" w:space="0" w:color="auto"/>
      </w:divBdr>
    </w:div>
    <w:div w:id="604847512">
      <w:bodyDiv w:val="1"/>
      <w:marLeft w:val="0"/>
      <w:marRight w:val="0"/>
      <w:marTop w:val="0"/>
      <w:marBottom w:val="0"/>
      <w:divBdr>
        <w:top w:val="none" w:sz="0" w:space="0" w:color="auto"/>
        <w:left w:val="none" w:sz="0" w:space="0" w:color="auto"/>
        <w:bottom w:val="none" w:sz="0" w:space="0" w:color="auto"/>
        <w:right w:val="none" w:sz="0" w:space="0" w:color="auto"/>
      </w:divBdr>
    </w:div>
    <w:div w:id="608971144">
      <w:bodyDiv w:val="1"/>
      <w:marLeft w:val="0"/>
      <w:marRight w:val="0"/>
      <w:marTop w:val="0"/>
      <w:marBottom w:val="0"/>
      <w:divBdr>
        <w:top w:val="none" w:sz="0" w:space="0" w:color="auto"/>
        <w:left w:val="none" w:sz="0" w:space="0" w:color="auto"/>
        <w:bottom w:val="none" w:sz="0" w:space="0" w:color="auto"/>
        <w:right w:val="none" w:sz="0" w:space="0" w:color="auto"/>
      </w:divBdr>
    </w:div>
    <w:div w:id="611860493">
      <w:bodyDiv w:val="1"/>
      <w:marLeft w:val="0"/>
      <w:marRight w:val="0"/>
      <w:marTop w:val="0"/>
      <w:marBottom w:val="0"/>
      <w:divBdr>
        <w:top w:val="none" w:sz="0" w:space="0" w:color="auto"/>
        <w:left w:val="none" w:sz="0" w:space="0" w:color="auto"/>
        <w:bottom w:val="none" w:sz="0" w:space="0" w:color="auto"/>
        <w:right w:val="none" w:sz="0" w:space="0" w:color="auto"/>
      </w:divBdr>
    </w:div>
    <w:div w:id="615916709">
      <w:bodyDiv w:val="1"/>
      <w:marLeft w:val="0"/>
      <w:marRight w:val="0"/>
      <w:marTop w:val="0"/>
      <w:marBottom w:val="0"/>
      <w:divBdr>
        <w:top w:val="none" w:sz="0" w:space="0" w:color="auto"/>
        <w:left w:val="none" w:sz="0" w:space="0" w:color="auto"/>
        <w:bottom w:val="none" w:sz="0" w:space="0" w:color="auto"/>
        <w:right w:val="none" w:sz="0" w:space="0" w:color="auto"/>
      </w:divBdr>
    </w:div>
    <w:div w:id="626742390">
      <w:bodyDiv w:val="1"/>
      <w:marLeft w:val="0"/>
      <w:marRight w:val="0"/>
      <w:marTop w:val="0"/>
      <w:marBottom w:val="0"/>
      <w:divBdr>
        <w:top w:val="none" w:sz="0" w:space="0" w:color="auto"/>
        <w:left w:val="none" w:sz="0" w:space="0" w:color="auto"/>
        <w:bottom w:val="none" w:sz="0" w:space="0" w:color="auto"/>
        <w:right w:val="none" w:sz="0" w:space="0" w:color="auto"/>
      </w:divBdr>
    </w:div>
    <w:div w:id="640574289">
      <w:bodyDiv w:val="1"/>
      <w:marLeft w:val="0"/>
      <w:marRight w:val="0"/>
      <w:marTop w:val="0"/>
      <w:marBottom w:val="0"/>
      <w:divBdr>
        <w:top w:val="none" w:sz="0" w:space="0" w:color="auto"/>
        <w:left w:val="none" w:sz="0" w:space="0" w:color="auto"/>
        <w:bottom w:val="none" w:sz="0" w:space="0" w:color="auto"/>
        <w:right w:val="none" w:sz="0" w:space="0" w:color="auto"/>
      </w:divBdr>
    </w:div>
    <w:div w:id="650326103">
      <w:bodyDiv w:val="1"/>
      <w:marLeft w:val="0"/>
      <w:marRight w:val="0"/>
      <w:marTop w:val="0"/>
      <w:marBottom w:val="0"/>
      <w:divBdr>
        <w:top w:val="none" w:sz="0" w:space="0" w:color="auto"/>
        <w:left w:val="none" w:sz="0" w:space="0" w:color="auto"/>
        <w:bottom w:val="none" w:sz="0" w:space="0" w:color="auto"/>
        <w:right w:val="none" w:sz="0" w:space="0" w:color="auto"/>
      </w:divBdr>
    </w:div>
    <w:div w:id="651107632">
      <w:bodyDiv w:val="1"/>
      <w:marLeft w:val="0"/>
      <w:marRight w:val="0"/>
      <w:marTop w:val="0"/>
      <w:marBottom w:val="0"/>
      <w:divBdr>
        <w:top w:val="none" w:sz="0" w:space="0" w:color="auto"/>
        <w:left w:val="none" w:sz="0" w:space="0" w:color="auto"/>
        <w:bottom w:val="none" w:sz="0" w:space="0" w:color="auto"/>
        <w:right w:val="none" w:sz="0" w:space="0" w:color="auto"/>
      </w:divBdr>
    </w:div>
    <w:div w:id="659430712">
      <w:bodyDiv w:val="1"/>
      <w:marLeft w:val="0"/>
      <w:marRight w:val="0"/>
      <w:marTop w:val="0"/>
      <w:marBottom w:val="0"/>
      <w:divBdr>
        <w:top w:val="none" w:sz="0" w:space="0" w:color="auto"/>
        <w:left w:val="none" w:sz="0" w:space="0" w:color="auto"/>
        <w:bottom w:val="none" w:sz="0" w:space="0" w:color="auto"/>
        <w:right w:val="none" w:sz="0" w:space="0" w:color="auto"/>
      </w:divBdr>
    </w:div>
    <w:div w:id="665595662">
      <w:bodyDiv w:val="1"/>
      <w:marLeft w:val="0"/>
      <w:marRight w:val="0"/>
      <w:marTop w:val="0"/>
      <w:marBottom w:val="0"/>
      <w:divBdr>
        <w:top w:val="none" w:sz="0" w:space="0" w:color="auto"/>
        <w:left w:val="none" w:sz="0" w:space="0" w:color="auto"/>
        <w:bottom w:val="none" w:sz="0" w:space="0" w:color="auto"/>
        <w:right w:val="none" w:sz="0" w:space="0" w:color="auto"/>
      </w:divBdr>
    </w:div>
    <w:div w:id="670567428">
      <w:bodyDiv w:val="1"/>
      <w:marLeft w:val="0"/>
      <w:marRight w:val="0"/>
      <w:marTop w:val="0"/>
      <w:marBottom w:val="0"/>
      <w:divBdr>
        <w:top w:val="none" w:sz="0" w:space="0" w:color="auto"/>
        <w:left w:val="none" w:sz="0" w:space="0" w:color="auto"/>
        <w:bottom w:val="none" w:sz="0" w:space="0" w:color="auto"/>
        <w:right w:val="none" w:sz="0" w:space="0" w:color="auto"/>
      </w:divBdr>
    </w:div>
    <w:div w:id="671640328">
      <w:bodyDiv w:val="1"/>
      <w:marLeft w:val="0"/>
      <w:marRight w:val="0"/>
      <w:marTop w:val="0"/>
      <w:marBottom w:val="0"/>
      <w:divBdr>
        <w:top w:val="none" w:sz="0" w:space="0" w:color="auto"/>
        <w:left w:val="none" w:sz="0" w:space="0" w:color="auto"/>
        <w:bottom w:val="none" w:sz="0" w:space="0" w:color="auto"/>
        <w:right w:val="none" w:sz="0" w:space="0" w:color="auto"/>
      </w:divBdr>
    </w:div>
    <w:div w:id="675308179">
      <w:bodyDiv w:val="1"/>
      <w:marLeft w:val="0"/>
      <w:marRight w:val="0"/>
      <w:marTop w:val="0"/>
      <w:marBottom w:val="0"/>
      <w:divBdr>
        <w:top w:val="none" w:sz="0" w:space="0" w:color="auto"/>
        <w:left w:val="none" w:sz="0" w:space="0" w:color="auto"/>
        <w:bottom w:val="none" w:sz="0" w:space="0" w:color="auto"/>
        <w:right w:val="none" w:sz="0" w:space="0" w:color="auto"/>
      </w:divBdr>
    </w:div>
    <w:div w:id="677123831">
      <w:bodyDiv w:val="1"/>
      <w:marLeft w:val="0"/>
      <w:marRight w:val="0"/>
      <w:marTop w:val="0"/>
      <w:marBottom w:val="0"/>
      <w:divBdr>
        <w:top w:val="none" w:sz="0" w:space="0" w:color="auto"/>
        <w:left w:val="none" w:sz="0" w:space="0" w:color="auto"/>
        <w:bottom w:val="none" w:sz="0" w:space="0" w:color="auto"/>
        <w:right w:val="none" w:sz="0" w:space="0" w:color="auto"/>
      </w:divBdr>
    </w:div>
    <w:div w:id="681518416">
      <w:bodyDiv w:val="1"/>
      <w:marLeft w:val="0"/>
      <w:marRight w:val="0"/>
      <w:marTop w:val="0"/>
      <w:marBottom w:val="0"/>
      <w:divBdr>
        <w:top w:val="none" w:sz="0" w:space="0" w:color="auto"/>
        <w:left w:val="none" w:sz="0" w:space="0" w:color="auto"/>
        <w:bottom w:val="none" w:sz="0" w:space="0" w:color="auto"/>
        <w:right w:val="none" w:sz="0" w:space="0" w:color="auto"/>
      </w:divBdr>
    </w:div>
    <w:div w:id="687096709">
      <w:bodyDiv w:val="1"/>
      <w:marLeft w:val="0"/>
      <w:marRight w:val="0"/>
      <w:marTop w:val="0"/>
      <w:marBottom w:val="0"/>
      <w:divBdr>
        <w:top w:val="none" w:sz="0" w:space="0" w:color="auto"/>
        <w:left w:val="none" w:sz="0" w:space="0" w:color="auto"/>
        <w:bottom w:val="none" w:sz="0" w:space="0" w:color="auto"/>
        <w:right w:val="none" w:sz="0" w:space="0" w:color="auto"/>
      </w:divBdr>
    </w:div>
    <w:div w:id="690491762">
      <w:bodyDiv w:val="1"/>
      <w:marLeft w:val="0"/>
      <w:marRight w:val="0"/>
      <w:marTop w:val="0"/>
      <w:marBottom w:val="0"/>
      <w:divBdr>
        <w:top w:val="none" w:sz="0" w:space="0" w:color="auto"/>
        <w:left w:val="none" w:sz="0" w:space="0" w:color="auto"/>
        <w:bottom w:val="none" w:sz="0" w:space="0" w:color="auto"/>
        <w:right w:val="none" w:sz="0" w:space="0" w:color="auto"/>
      </w:divBdr>
    </w:div>
    <w:div w:id="695693246">
      <w:bodyDiv w:val="1"/>
      <w:marLeft w:val="0"/>
      <w:marRight w:val="0"/>
      <w:marTop w:val="0"/>
      <w:marBottom w:val="0"/>
      <w:divBdr>
        <w:top w:val="none" w:sz="0" w:space="0" w:color="auto"/>
        <w:left w:val="none" w:sz="0" w:space="0" w:color="auto"/>
        <w:bottom w:val="none" w:sz="0" w:space="0" w:color="auto"/>
        <w:right w:val="none" w:sz="0" w:space="0" w:color="auto"/>
      </w:divBdr>
    </w:div>
    <w:div w:id="699207319">
      <w:bodyDiv w:val="1"/>
      <w:marLeft w:val="0"/>
      <w:marRight w:val="0"/>
      <w:marTop w:val="0"/>
      <w:marBottom w:val="0"/>
      <w:divBdr>
        <w:top w:val="none" w:sz="0" w:space="0" w:color="auto"/>
        <w:left w:val="none" w:sz="0" w:space="0" w:color="auto"/>
        <w:bottom w:val="none" w:sz="0" w:space="0" w:color="auto"/>
        <w:right w:val="none" w:sz="0" w:space="0" w:color="auto"/>
      </w:divBdr>
    </w:div>
    <w:div w:id="712653929">
      <w:bodyDiv w:val="1"/>
      <w:marLeft w:val="0"/>
      <w:marRight w:val="0"/>
      <w:marTop w:val="0"/>
      <w:marBottom w:val="0"/>
      <w:divBdr>
        <w:top w:val="none" w:sz="0" w:space="0" w:color="auto"/>
        <w:left w:val="none" w:sz="0" w:space="0" w:color="auto"/>
        <w:bottom w:val="none" w:sz="0" w:space="0" w:color="auto"/>
        <w:right w:val="none" w:sz="0" w:space="0" w:color="auto"/>
      </w:divBdr>
    </w:div>
    <w:div w:id="714735842">
      <w:bodyDiv w:val="1"/>
      <w:marLeft w:val="0"/>
      <w:marRight w:val="0"/>
      <w:marTop w:val="0"/>
      <w:marBottom w:val="0"/>
      <w:divBdr>
        <w:top w:val="none" w:sz="0" w:space="0" w:color="auto"/>
        <w:left w:val="none" w:sz="0" w:space="0" w:color="auto"/>
        <w:bottom w:val="none" w:sz="0" w:space="0" w:color="auto"/>
        <w:right w:val="none" w:sz="0" w:space="0" w:color="auto"/>
      </w:divBdr>
    </w:div>
    <w:div w:id="723067422">
      <w:bodyDiv w:val="1"/>
      <w:marLeft w:val="0"/>
      <w:marRight w:val="0"/>
      <w:marTop w:val="0"/>
      <w:marBottom w:val="0"/>
      <w:divBdr>
        <w:top w:val="none" w:sz="0" w:space="0" w:color="auto"/>
        <w:left w:val="none" w:sz="0" w:space="0" w:color="auto"/>
        <w:bottom w:val="none" w:sz="0" w:space="0" w:color="auto"/>
        <w:right w:val="none" w:sz="0" w:space="0" w:color="auto"/>
      </w:divBdr>
    </w:div>
    <w:div w:id="741441476">
      <w:bodyDiv w:val="1"/>
      <w:marLeft w:val="0"/>
      <w:marRight w:val="0"/>
      <w:marTop w:val="0"/>
      <w:marBottom w:val="0"/>
      <w:divBdr>
        <w:top w:val="none" w:sz="0" w:space="0" w:color="auto"/>
        <w:left w:val="none" w:sz="0" w:space="0" w:color="auto"/>
        <w:bottom w:val="none" w:sz="0" w:space="0" w:color="auto"/>
        <w:right w:val="none" w:sz="0" w:space="0" w:color="auto"/>
      </w:divBdr>
    </w:div>
    <w:div w:id="745612092">
      <w:bodyDiv w:val="1"/>
      <w:marLeft w:val="0"/>
      <w:marRight w:val="0"/>
      <w:marTop w:val="0"/>
      <w:marBottom w:val="0"/>
      <w:divBdr>
        <w:top w:val="none" w:sz="0" w:space="0" w:color="auto"/>
        <w:left w:val="none" w:sz="0" w:space="0" w:color="auto"/>
        <w:bottom w:val="none" w:sz="0" w:space="0" w:color="auto"/>
        <w:right w:val="none" w:sz="0" w:space="0" w:color="auto"/>
      </w:divBdr>
    </w:div>
    <w:div w:id="749275069">
      <w:bodyDiv w:val="1"/>
      <w:marLeft w:val="0"/>
      <w:marRight w:val="0"/>
      <w:marTop w:val="0"/>
      <w:marBottom w:val="0"/>
      <w:divBdr>
        <w:top w:val="none" w:sz="0" w:space="0" w:color="auto"/>
        <w:left w:val="none" w:sz="0" w:space="0" w:color="auto"/>
        <w:bottom w:val="none" w:sz="0" w:space="0" w:color="auto"/>
        <w:right w:val="none" w:sz="0" w:space="0" w:color="auto"/>
      </w:divBdr>
    </w:div>
    <w:div w:id="750128644">
      <w:bodyDiv w:val="1"/>
      <w:marLeft w:val="0"/>
      <w:marRight w:val="0"/>
      <w:marTop w:val="0"/>
      <w:marBottom w:val="0"/>
      <w:divBdr>
        <w:top w:val="none" w:sz="0" w:space="0" w:color="auto"/>
        <w:left w:val="none" w:sz="0" w:space="0" w:color="auto"/>
        <w:bottom w:val="none" w:sz="0" w:space="0" w:color="auto"/>
        <w:right w:val="none" w:sz="0" w:space="0" w:color="auto"/>
      </w:divBdr>
    </w:div>
    <w:div w:id="754673373">
      <w:bodyDiv w:val="1"/>
      <w:marLeft w:val="0"/>
      <w:marRight w:val="0"/>
      <w:marTop w:val="0"/>
      <w:marBottom w:val="0"/>
      <w:divBdr>
        <w:top w:val="none" w:sz="0" w:space="0" w:color="auto"/>
        <w:left w:val="none" w:sz="0" w:space="0" w:color="auto"/>
        <w:bottom w:val="none" w:sz="0" w:space="0" w:color="auto"/>
        <w:right w:val="none" w:sz="0" w:space="0" w:color="auto"/>
      </w:divBdr>
    </w:div>
    <w:div w:id="764573591">
      <w:bodyDiv w:val="1"/>
      <w:marLeft w:val="0"/>
      <w:marRight w:val="0"/>
      <w:marTop w:val="0"/>
      <w:marBottom w:val="0"/>
      <w:divBdr>
        <w:top w:val="none" w:sz="0" w:space="0" w:color="auto"/>
        <w:left w:val="none" w:sz="0" w:space="0" w:color="auto"/>
        <w:bottom w:val="none" w:sz="0" w:space="0" w:color="auto"/>
        <w:right w:val="none" w:sz="0" w:space="0" w:color="auto"/>
      </w:divBdr>
    </w:div>
    <w:div w:id="766999952">
      <w:bodyDiv w:val="1"/>
      <w:marLeft w:val="0"/>
      <w:marRight w:val="0"/>
      <w:marTop w:val="0"/>
      <w:marBottom w:val="0"/>
      <w:divBdr>
        <w:top w:val="none" w:sz="0" w:space="0" w:color="auto"/>
        <w:left w:val="none" w:sz="0" w:space="0" w:color="auto"/>
        <w:bottom w:val="none" w:sz="0" w:space="0" w:color="auto"/>
        <w:right w:val="none" w:sz="0" w:space="0" w:color="auto"/>
      </w:divBdr>
    </w:div>
    <w:div w:id="771124754">
      <w:bodyDiv w:val="1"/>
      <w:marLeft w:val="0"/>
      <w:marRight w:val="0"/>
      <w:marTop w:val="0"/>
      <w:marBottom w:val="0"/>
      <w:divBdr>
        <w:top w:val="none" w:sz="0" w:space="0" w:color="auto"/>
        <w:left w:val="none" w:sz="0" w:space="0" w:color="auto"/>
        <w:bottom w:val="none" w:sz="0" w:space="0" w:color="auto"/>
        <w:right w:val="none" w:sz="0" w:space="0" w:color="auto"/>
      </w:divBdr>
    </w:div>
    <w:div w:id="778791771">
      <w:bodyDiv w:val="1"/>
      <w:marLeft w:val="0"/>
      <w:marRight w:val="0"/>
      <w:marTop w:val="0"/>
      <w:marBottom w:val="0"/>
      <w:divBdr>
        <w:top w:val="none" w:sz="0" w:space="0" w:color="auto"/>
        <w:left w:val="none" w:sz="0" w:space="0" w:color="auto"/>
        <w:bottom w:val="none" w:sz="0" w:space="0" w:color="auto"/>
        <w:right w:val="none" w:sz="0" w:space="0" w:color="auto"/>
      </w:divBdr>
    </w:div>
    <w:div w:id="785195136">
      <w:bodyDiv w:val="1"/>
      <w:marLeft w:val="0"/>
      <w:marRight w:val="0"/>
      <w:marTop w:val="0"/>
      <w:marBottom w:val="0"/>
      <w:divBdr>
        <w:top w:val="none" w:sz="0" w:space="0" w:color="auto"/>
        <w:left w:val="none" w:sz="0" w:space="0" w:color="auto"/>
        <w:bottom w:val="none" w:sz="0" w:space="0" w:color="auto"/>
        <w:right w:val="none" w:sz="0" w:space="0" w:color="auto"/>
      </w:divBdr>
    </w:div>
    <w:div w:id="794906216">
      <w:bodyDiv w:val="1"/>
      <w:marLeft w:val="0"/>
      <w:marRight w:val="0"/>
      <w:marTop w:val="0"/>
      <w:marBottom w:val="0"/>
      <w:divBdr>
        <w:top w:val="none" w:sz="0" w:space="0" w:color="auto"/>
        <w:left w:val="none" w:sz="0" w:space="0" w:color="auto"/>
        <w:bottom w:val="none" w:sz="0" w:space="0" w:color="auto"/>
        <w:right w:val="none" w:sz="0" w:space="0" w:color="auto"/>
      </w:divBdr>
    </w:div>
    <w:div w:id="811672404">
      <w:bodyDiv w:val="1"/>
      <w:marLeft w:val="0"/>
      <w:marRight w:val="0"/>
      <w:marTop w:val="0"/>
      <w:marBottom w:val="0"/>
      <w:divBdr>
        <w:top w:val="none" w:sz="0" w:space="0" w:color="auto"/>
        <w:left w:val="none" w:sz="0" w:space="0" w:color="auto"/>
        <w:bottom w:val="none" w:sz="0" w:space="0" w:color="auto"/>
        <w:right w:val="none" w:sz="0" w:space="0" w:color="auto"/>
      </w:divBdr>
    </w:div>
    <w:div w:id="819274523">
      <w:bodyDiv w:val="1"/>
      <w:marLeft w:val="0"/>
      <w:marRight w:val="0"/>
      <w:marTop w:val="0"/>
      <w:marBottom w:val="0"/>
      <w:divBdr>
        <w:top w:val="none" w:sz="0" w:space="0" w:color="auto"/>
        <w:left w:val="none" w:sz="0" w:space="0" w:color="auto"/>
        <w:bottom w:val="none" w:sz="0" w:space="0" w:color="auto"/>
        <w:right w:val="none" w:sz="0" w:space="0" w:color="auto"/>
      </w:divBdr>
    </w:div>
    <w:div w:id="827019071">
      <w:bodyDiv w:val="1"/>
      <w:marLeft w:val="0"/>
      <w:marRight w:val="0"/>
      <w:marTop w:val="0"/>
      <w:marBottom w:val="0"/>
      <w:divBdr>
        <w:top w:val="none" w:sz="0" w:space="0" w:color="auto"/>
        <w:left w:val="none" w:sz="0" w:space="0" w:color="auto"/>
        <w:bottom w:val="none" w:sz="0" w:space="0" w:color="auto"/>
        <w:right w:val="none" w:sz="0" w:space="0" w:color="auto"/>
      </w:divBdr>
    </w:div>
    <w:div w:id="847135639">
      <w:bodyDiv w:val="1"/>
      <w:marLeft w:val="0"/>
      <w:marRight w:val="0"/>
      <w:marTop w:val="0"/>
      <w:marBottom w:val="0"/>
      <w:divBdr>
        <w:top w:val="none" w:sz="0" w:space="0" w:color="auto"/>
        <w:left w:val="none" w:sz="0" w:space="0" w:color="auto"/>
        <w:bottom w:val="none" w:sz="0" w:space="0" w:color="auto"/>
        <w:right w:val="none" w:sz="0" w:space="0" w:color="auto"/>
      </w:divBdr>
    </w:div>
    <w:div w:id="850995802">
      <w:bodyDiv w:val="1"/>
      <w:marLeft w:val="0"/>
      <w:marRight w:val="0"/>
      <w:marTop w:val="0"/>
      <w:marBottom w:val="0"/>
      <w:divBdr>
        <w:top w:val="none" w:sz="0" w:space="0" w:color="auto"/>
        <w:left w:val="none" w:sz="0" w:space="0" w:color="auto"/>
        <w:bottom w:val="none" w:sz="0" w:space="0" w:color="auto"/>
        <w:right w:val="none" w:sz="0" w:space="0" w:color="auto"/>
      </w:divBdr>
    </w:div>
    <w:div w:id="851068094">
      <w:bodyDiv w:val="1"/>
      <w:marLeft w:val="0"/>
      <w:marRight w:val="0"/>
      <w:marTop w:val="0"/>
      <w:marBottom w:val="0"/>
      <w:divBdr>
        <w:top w:val="none" w:sz="0" w:space="0" w:color="auto"/>
        <w:left w:val="none" w:sz="0" w:space="0" w:color="auto"/>
        <w:bottom w:val="none" w:sz="0" w:space="0" w:color="auto"/>
        <w:right w:val="none" w:sz="0" w:space="0" w:color="auto"/>
      </w:divBdr>
    </w:div>
    <w:div w:id="859855455">
      <w:bodyDiv w:val="1"/>
      <w:marLeft w:val="0"/>
      <w:marRight w:val="0"/>
      <w:marTop w:val="0"/>
      <w:marBottom w:val="0"/>
      <w:divBdr>
        <w:top w:val="none" w:sz="0" w:space="0" w:color="auto"/>
        <w:left w:val="none" w:sz="0" w:space="0" w:color="auto"/>
        <w:bottom w:val="none" w:sz="0" w:space="0" w:color="auto"/>
        <w:right w:val="none" w:sz="0" w:space="0" w:color="auto"/>
      </w:divBdr>
    </w:div>
    <w:div w:id="865799081">
      <w:bodyDiv w:val="1"/>
      <w:marLeft w:val="0"/>
      <w:marRight w:val="0"/>
      <w:marTop w:val="0"/>
      <w:marBottom w:val="0"/>
      <w:divBdr>
        <w:top w:val="none" w:sz="0" w:space="0" w:color="auto"/>
        <w:left w:val="none" w:sz="0" w:space="0" w:color="auto"/>
        <w:bottom w:val="none" w:sz="0" w:space="0" w:color="auto"/>
        <w:right w:val="none" w:sz="0" w:space="0" w:color="auto"/>
      </w:divBdr>
    </w:div>
    <w:div w:id="866141129">
      <w:bodyDiv w:val="1"/>
      <w:marLeft w:val="0"/>
      <w:marRight w:val="0"/>
      <w:marTop w:val="0"/>
      <w:marBottom w:val="0"/>
      <w:divBdr>
        <w:top w:val="none" w:sz="0" w:space="0" w:color="auto"/>
        <w:left w:val="none" w:sz="0" w:space="0" w:color="auto"/>
        <w:bottom w:val="none" w:sz="0" w:space="0" w:color="auto"/>
        <w:right w:val="none" w:sz="0" w:space="0" w:color="auto"/>
      </w:divBdr>
    </w:div>
    <w:div w:id="869878299">
      <w:bodyDiv w:val="1"/>
      <w:marLeft w:val="0"/>
      <w:marRight w:val="0"/>
      <w:marTop w:val="0"/>
      <w:marBottom w:val="0"/>
      <w:divBdr>
        <w:top w:val="none" w:sz="0" w:space="0" w:color="auto"/>
        <w:left w:val="none" w:sz="0" w:space="0" w:color="auto"/>
        <w:bottom w:val="none" w:sz="0" w:space="0" w:color="auto"/>
        <w:right w:val="none" w:sz="0" w:space="0" w:color="auto"/>
      </w:divBdr>
    </w:div>
    <w:div w:id="870073262">
      <w:bodyDiv w:val="1"/>
      <w:marLeft w:val="0"/>
      <w:marRight w:val="0"/>
      <w:marTop w:val="0"/>
      <w:marBottom w:val="0"/>
      <w:divBdr>
        <w:top w:val="none" w:sz="0" w:space="0" w:color="auto"/>
        <w:left w:val="none" w:sz="0" w:space="0" w:color="auto"/>
        <w:bottom w:val="none" w:sz="0" w:space="0" w:color="auto"/>
        <w:right w:val="none" w:sz="0" w:space="0" w:color="auto"/>
      </w:divBdr>
    </w:div>
    <w:div w:id="870149409">
      <w:bodyDiv w:val="1"/>
      <w:marLeft w:val="0"/>
      <w:marRight w:val="0"/>
      <w:marTop w:val="0"/>
      <w:marBottom w:val="0"/>
      <w:divBdr>
        <w:top w:val="none" w:sz="0" w:space="0" w:color="auto"/>
        <w:left w:val="none" w:sz="0" w:space="0" w:color="auto"/>
        <w:bottom w:val="none" w:sz="0" w:space="0" w:color="auto"/>
        <w:right w:val="none" w:sz="0" w:space="0" w:color="auto"/>
      </w:divBdr>
    </w:div>
    <w:div w:id="874347503">
      <w:bodyDiv w:val="1"/>
      <w:marLeft w:val="0"/>
      <w:marRight w:val="0"/>
      <w:marTop w:val="0"/>
      <w:marBottom w:val="0"/>
      <w:divBdr>
        <w:top w:val="none" w:sz="0" w:space="0" w:color="auto"/>
        <w:left w:val="none" w:sz="0" w:space="0" w:color="auto"/>
        <w:bottom w:val="none" w:sz="0" w:space="0" w:color="auto"/>
        <w:right w:val="none" w:sz="0" w:space="0" w:color="auto"/>
      </w:divBdr>
    </w:div>
    <w:div w:id="878662001">
      <w:bodyDiv w:val="1"/>
      <w:marLeft w:val="0"/>
      <w:marRight w:val="0"/>
      <w:marTop w:val="0"/>
      <w:marBottom w:val="0"/>
      <w:divBdr>
        <w:top w:val="none" w:sz="0" w:space="0" w:color="auto"/>
        <w:left w:val="none" w:sz="0" w:space="0" w:color="auto"/>
        <w:bottom w:val="none" w:sz="0" w:space="0" w:color="auto"/>
        <w:right w:val="none" w:sz="0" w:space="0" w:color="auto"/>
      </w:divBdr>
    </w:div>
    <w:div w:id="884607759">
      <w:bodyDiv w:val="1"/>
      <w:marLeft w:val="0"/>
      <w:marRight w:val="0"/>
      <w:marTop w:val="0"/>
      <w:marBottom w:val="0"/>
      <w:divBdr>
        <w:top w:val="none" w:sz="0" w:space="0" w:color="auto"/>
        <w:left w:val="none" w:sz="0" w:space="0" w:color="auto"/>
        <w:bottom w:val="none" w:sz="0" w:space="0" w:color="auto"/>
        <w:right w:val="none" w:sz="0" w:space="0" w:color="auto"/>
      </w:divBdr>
    </w:div>
    <w:div w:id="891843459">
      <w:bodyDiv w:val="1"/>
      <w:marLeft w:val="0"/>
      <w:marRight w:val="0"/>
      <w:marTop w:val="0"/>
      <w:marBottom w:val="0"/>
      <w:divBdr>
        <w:top w:val="none" w:sz="0" w:space="0" w:color="auto"/>
        <w:left w:val="none" w:sz="0" w:space="0" w:color="auto"/>
        <w:bottom w:val="none" w:sz="0" w:space="0" w:color="auto"/>
        <w:right w:val="none" w:sz="0" w:space="0" w:color="auto"/>
      </w:divBdr>
    </w:div>
    <w:div w:id="905578088">
      <w:bodyDiv w:val="1"/>
      <w:marLeft w:val="0"/>
      <w:marRight w:val="0"/>
      <w:marTop w:val="0"/>
      <w:marBottom w:val="0"/>
      <w:divBdr>
        <w:top w:val="none" w:sz="0" w:space="0" w:color="auto"/>
        <w:left w:val="none" w:sz="0" w:space="0" w:color="auto"/>
        <w:bottom w:val="none" w:sz="0" w:space="0" w:color="auto"/>
        <w:right w:val="none" w:sz="0" w:space="0" w:color="auto"/>
      </w:divBdr>
    </w:div>
    <w:div w:id="913205659">
      <w:bodyDiv w:val="1"/>
      <w:marLeft w:val="0"/>
      <w:marRight w:val="0"/>
      <w:marTop w:val="0"/>
      <w:marBottom w:val="0"/>
      <w:divBdr>
        <w:top w:val="none" w:sz="0" w:space="0" w:color="auto"/>
        <w:left w:val="none" w:sz="0" w:space="0" w:color="auto"/>
        <w:bottom w:val="none" w:sz="0" w:space="0" w:color="auto"/>
        <w:right w:val="none" w:sz="0" w:space="0" w:color="auto"/>
      </w:divBdr>
    </w:div>
    <w:div w:id="914893911">
      <w:bodyDiv w:val="1"/>
      <w:marLeft w:val="0"/>
      <w:marRight w:val="0"/>
      <w:marTop w:val="0"/>
      <w:marBottom w:val="0"/>
      <w:divBdr>
        <w:top w:val="none" w:sz="0" w:space="0" w:color="auto"/>
        <w:left w:val="none" w:sz="0" w:space="0" w:color="auto"/>
        <w:bottom w:val="none" w:sz="0" w:space="0" w:color="auto"/>
        <w:right w:val="none" w:sz="0" w:space="0" w:color="auto"/>
      </w:divBdr>
    </w:div>
    <w:div w:id="923612276">
      <w:bodyDiv w:val="1"/>
      <w:marLeft w:val="0"/>
      <w:marRight w:val="0"/>
      <w:marTop w:val="0"/>
      <w:marBottom w:val="0"/>
      <w:divBdr>
        <w:top w:val="none" w:sz="0" w:space="0" w:color="auto"/>
        <w:left w:val="none" w:sz="0" w:space="0" w:color="auto"/>
        <w:bottom w:val="none" w:sz="0" w:space="0" w:color="auto"/>
        <w:right w:val="none" w:sz="0" w:space="0" w:color="auto"/>
      </w:divBdr>
    </w:div>
    <w:div w:id="928074353">
      <w:bodyDiv w:val="1"/>
      <w:marLeft w:val="0"/>
      <w:marRight w:val="0"/>
      <w:marTop w:val="0"/>
      <w:marBottom w:val="0"/>
      <w:divBdr>
        <w:top w:val="none" w:sz="0" w:space="0" w:color="auto"/>
        <w:left w:val="none" w:sz="0" w:space="0" w:color="auto"/>
        <w:bottom w:val="none" w:sz="0" w:space="0" w:color="auto"/>
        <w:right w:val="none" w:sz="0" w:space="0" w:color="auto"/>
      </w:divBdr>
    </w:div>
    <w:div w:id="932979895">
      <w:bodyDiv w:val="1"/>
      <w:marLeft w:val="0"/>
      <w:marRight w:val="0"/>
      <w:marTop w:val="0"/>
      <w:marBottom w:val="0"/>
      <w:divBdr>
        <w:top w:val="none" w:sz="0" w:space="0" w:color="auto"/>
        <w:left w:val="none" w:sz="0" w:space="0" w:color="auto"/>
        <w:bottom w:val="none" w:sz="0" w:space="0" w:color="auto"/>
        <w:right w:val="none" w:sz="0" w:space="0" w:color="auto"/>
      </w:divBdr>
    </w:div>
    <w:div w:id="934020887">
      <w:bodyDiv w:val="1"/>
      <w:marLeft w:val="0"/>
      <w:marRight w:val="0"/>
      <w:marTop w:val="0"/>
      <w:marBottom w:val="0"/>
      <w:divBdr>
        <w:top w:val="none" w:sz="0" w:space="0" w:color="auto"/>
        <w:left w:val="none" w:sz="0" w:space="0" w:color="auto"/>
        <w:bottom w:val="none" w:sz="0" w:space="0" w:color="auto"/>
        <w:right w:val="none" w:sz="0" w:space="0" w:color="auto"/>
      </w:divBdr>
    </w:div>
    <w:div w:id="948120885">
      <w:bodyDiv w:val="1"/>
      <w:marLeft w:val="0"/>
      <w:marRight w:val="0"/>
      <w:marTop w:val="0"/>
      <w:marBottom w:val="0"/>
      <w:divBdr>
        <w:top w:val="none" w:sz="0" w:space="0" w:color="auto"/>
        <w:left w:val="none" w:sz="0" w:space="0" w:color="auto"/>
        <w:bottom w:val="none" w:sz="0" w:space="0" w:color="auto"/>
        <w:right w:val="none" w:sz="0" w:space="0" w:color="auto"/>
      </w:divBdr>
    </w:div>
    <w:div w:id="953288516">
      <w:bodyDiv w:val="1"/>
      <w:marLeft w:val="0"/>
      <w:marRight w:val="0"/>
      <w:marTop w:val="0"/>
      <w:marBottom w:val="0"/>
      <w:divBdr>
        <w:top w:val="none" w:sz="0" w:space="0" w:color="auto"/>
        <w:left w:val="none" w:sz="0" w:space="0" w:color="auto"/>
        <w:bottom w:val="none" w:sz="0" w:space="0" w:color="auto"/>
        <w:right w:val="none" w:sz="0" w:space="0" w:color="auto"/>
      </w:divBdr>
    </w:div>
    <w:div w:id="955789670">
      <w:bodyDiv w:val="1"/>
      <w:marLeft w:val="0"/>
      <w:marRight w:val="0"/>
      <w:marTop w:val="0"/>
      <w:marBottom w:val="0"/>
      <w:divBdr>
        <w:top w:val="none" w:sz="0" w:space="0" w:color="auto"/>
        <w:left w:val="none" w:sz="0" w:space="0" w:color="auto"/>
        <w:bottom w:val="none" w:sz="0" w:space="0" w:color="auto"/>
        <w:right w:val="none" w:sz="0" w:space="0" w:color="auto"/>
      </w:divBdr>
    </w:div>
    <w:div w:id="979263094">
      <w:bodyDiv w:val="1"/>
      <w:marLeft w:val="0"/>
      <w:marRight w:val="0"/>
      <w:marTop w:val="0"/>
      <w:marBottom w:val="0"/>
      <w:divBdr>
        <w:top w:val="none" w:sz="0" w:space="0" w:color="auto"/>
        <w:left w:val="none" w:sz="0" w:space="0" w:color="auto"/>
        <w:bottom w:val="none" w:sz="0" w:space="0" w:color="auto"/>
        <w:right w:val="none" w:sz="0" w:space="0" w:color="auto"/>
      </w:divBdr>
    </w:div>
    <w:div w:id="979457624">
      <w:bodyDiv w:val="1"/>
      <w:marLeft w:val="0"/>
      <w:marRight w:val="0"/>
      <w:marTop w:val="0"/>
      <w:marBottom w:val="0"/>
      <w:divBdr>
        <w:top w:val="none" w:sz="0" w:space="0" w:color="auto"/>
        <w:left w:val="none" w:sz="0" w:space="0" w:color="auto"/>
        <w:bottom w:val="none" w:sz="0" w:space="0" w:color="auto"/>
        <w:right w:val="none" w:sz="0" w:space="0" w:color="auto"/>
      </w:divBdr>
    </w:div>
    <w:div w:id="984314496">
      <w:bodyDiv w:val="1"/>
      <w:marLeft w:val="0"/>
      <w:marRight w:val="0"/>
      <w:marTop w:val="0"/>
      <w:marBottom w:val="0"/>
      <w:divBdr>
        <w:top w:val="none" w:sz="0" w:space="0" w:color="auto"/>
        <w:left w:val="none" w:sz="0" w:space="0" w:color="auto"/>
        <w:bottom w:val="none" w:sz="0" w:space="0" w:color="auto"/>
        <w:right w:val="none" w:sz="0" w:space="0" w:color="auto"/>
      </w:divBdr>
    </w:div>
    <w:div w:id="985473123">
      <w:bodyDiv w:val="1"/>
      <w:marLeft w:val="0"/>
      <w:marRight w:val="0"/>
      <w:marTop w:val="0"/>
      <w:marBottom w:val="0"/>
      <w:divBdr>
        <w:top w:val="none" w:sz="0" w:space="0" w:color="auto"/>
        <w:left w:val="none" w:sz="0" w:space="0" w:color="auto"/>
        <w:bottom w:val="none" w:sz="0" w:space="0" w:color="auto"/>
        <w:right w:val="none" w:sz="0" w:space="0" w:color="auto"/>
      </w:divBdr>
    </w:div>
    <w:div w:id="986669541">
      <w:bodyDiv w:val="1"/>
      <w:marLeft w:val="0"/>
      <w:marRight w:val="0"/>
      <w:marTop w:val="0"/>
      <w:marBottom w:val="0"/>
      <w:divBdr>
        <w:top w:val="none" w:sz="0" w:space="0" w:color="auto"/>
        <w:left w:val="none" w:sz="0" w:space="0" w:color="auto"/>
        <w:bottom w:val="none" w:sz="0" w:space="0" w:color="auto"/>
        <w:right w:val="none" w:sz="0" w:space="0" w:color="auto"/>
      </w:divBdr>
    </w:div>
    <w:div w:id="989748186">
      <w:bodyDiv w:val="1"/>
      <w:marLeft w:val="0"/>
      <w:marRight w:val="0"/>
      <w:marTop w:val="0"/>
      <w:marBottom w:val="0"/>
      <w:divBdr>
        <w:top w:val="none" w:sz="0" w:space="0" w:color="auto"/>
        <w:left w:val="none" w:sz="0" w:space="0" w:color="auto"/>
        <w:bottom w:val="none" w:sz="0" w:space="0" w:color="auto"/>
        <w:right w:val="none" w:sz="0" w:space="0" w:color="auto"/>
      </w:divBdr>
    </w:div>
    <w:div w:id="991526142">
      <w:bodyDiv w:val="1"/>
      <w:marLeft w:val="0"/>
      <w:marRight w:val="0"/>
      <w:marTop w:val="0"/>
      <w:marBottom w:val="0"/>
      <w:divBdr>
        <w:top w:val="none" w:sz="0" w:space="0" w:color="auto"/>
        <w:left w:val="none" w:sz="0" w:space="0" w:color="auto"/>
        <w:bottom w:val="none" w:sz="0" w:space="0" w:color="auto"/>
        <w:right w:val="none" w:sz="0" w:space="0" w:color="auto"/>
      </w:divBdr>
    </w:div>
    <w:div w:id="995456367">
      <w:bodyDiv w:val="1"/>
      <w:marLeft w:val="0"/>
      <w:marRight w:val="0"/>
      <w:marTop w:val="0"/>
      <w:marBottom w:val="0"/>
      <w:divBdr>
        <w:top w:val="none" w:sz="0" w:space="0" w:color="auto"/>
        <w:left w:val="none" w:sz="0" w:space="0" w:color="auto"/>
        <w:bottom w:val="none" w:sz="0" w:space="0" w:color="auto"/>
        <w:right w:val="none" w:sz="0" w:space="0" w:color="auto"/>
      </w:divBdr>
    </w:div>
    <w:div w:id="996418888">
      <w:bodyDiv w:val="1"/>
      <w:marLeft w:val="0"/>
      <w:marRight w:val="0"/>
      <w:marTop w:val="0"/>
      <w:marBottom w:val="0"/>
      <w:divBdr>
        <w:top w:val="none" w:sz="0" w:space="0" w:color="auto"/>
        <w:left w:val="none" w:sz="0" w:space="0" w:color="auto"/>
        <w:bottom w:val="none" w:sz="0" w:space="0" w:color="auto"/>
        <w:right w:val="none" w:sz="0" w:space="0" w:color="auto"/>
      </w:divBdr>
    </w:div>
    <w:div w:id="1006009098">
      <w:bodyDiv w:val="1"/>
      <w:marLeft w:val="0"/>
      <w:marRight w:val="0"/>
      <w:marTop w:val="0"/>
      <w:marBottom w:val="0"/>
      <w:divBdr>
        <w:top w:val="none" w:sz="0" w:space="0" w:color="auto"/>
        <w:left w:val="none" w:sz="0" w:space="0" w:color="auto"/>
        <w:bottom w:val="none" w:sz="0" w:space="0" w:color="auto"/>
        <w:right w:val="none" w:sz="0" w:space="0" w:color="auto"/>
      </w:divBdr>
    </w:div>
    <w:div w:id="1011102828">
      <w:bodyDiv w:val="1"/>
      <w:marLeft w:val="0"/>
      <w:marRight w:val="0"/>
      <w:marTop w:val="0"/>
      <w:marBottom w:val="0"/>
      <w:divBdr>
        <w:top w:val="none" w:sz="0" w:space="0" w:color="auto"/>
        <w:left w:val="none" w:sz="0" w:space="0" w:color="auto"/>
        <w:bottom w:val="none" w:sz="0" w:space="0" w:color="auto"/>
        <w:right w:val="none" w:sz="0" w:space="0" w:color="auto"/>
      </w:divBdr>
      <w:divsChild>
        <w:div w:id="1338844174">
          <w:marLeft w:val="0"/>
          <w:marRight w:val="0"/>
          <w:marTop w:val="0"/>
          <w:marBottom w:val="0"/>
          <w:divBdr>
            <w:top w:val="none" w:sz="0" w:space="0" w:color="auto"/>
            <w:left w:val="none" w:sz="0" w:space="0" w:color="auto"/>
            <w:bottom w:val="none" w:sz="0" w:space="0" w:color="auto"/>
            <w:right w:val="none" w:sz="0" w:space="0" w:color="auto"/>
          </w:divBdr>
        </w:div>
      </w:divsChild>
    </w:div>
    <w:div w:id="1016348901">
      <w:bodyDiv w:val="1"/>
      <w:marLeft w:val="0"/>
      <w:marRight w:val="0"/>
      <w:marTop w:val="0"/>
      <w:marBottom w:val="0"/>
      <w:divBdr>
        <w:top w:val="none" w:sz="0" w:space="0" w:color="auto"/>
        <w:left w:val="none" w:sz="0" w:space="0" w:color="auto"/>
        <w:bottom w:val="none" w:sz="0" w:space="0" w:color="auto"/>
        <w:right w:val="none" w:sz="0" w:space="0" w:color="auto"/>
      </w:divBdr>
    </w:div>
    <w:div w:id="1030229947">
      <w:bodyDiv w:val="1"/>
      <w:marLeft w:val="0"/>
      <w:marRight w:val="0"/>
      <w:marTop w:val="0"/>
      <w:marBottom w:val="0"/>
      <w:divBdr>
        <w:top w:val="none" w:sz="0" w:space="0" w:color="auto"/>
        <w:left w:val="none" w:sz="0" w:space="0" w:color="auto"/>
        <w:bottom w:val="none" w:sz="0" w:space="0" w:color="auto"/>
        <w:right w:val="none" w:sz="0" w:space="0" w:color="auto"/>
      </w:divBdr>
    </w:div>
    <w:div w:id="1044326727">
      <w:bodyDiv w:val="1"/>
      <w:marLeft w:val="0"/>
      <w:marRight w:val="0"/>
      <w:marTop w:val="0"/>
      <w:marBottom w:val="0"/>
      <w:divBdr>
        <w:top w:val="none" w:sz="0" w:space="0" w:color="auto"/>
        <w:left w:val="none" w:sz="0" w:space="0" w:color="auto"/>
        <w:bottom w:val="none" w:sz="0" w:space="0" w:color="auto"/>
        <w:right w:val="none" w:sz="0" w:space="0" w:color="auto"/>
      </w:divBdr>
    </w:div>
    <w:div w:id="1046952648">
      <w:bodyDiv w:val="1"/>
      <w:marLeft w:val="0"/>
      <w:marRight w:val="0"/>
      <w:marTop w:val="0"/>
      <w:marBottom w:val="0"/>
      <w:divBdr>
        <w:top w:val="none" w:sz="0" w:space="0" w:color="auto"/>
        <w:left w:val="none" w:sz="0" w:space="0" w:color="auto"/>
        <w:bottom w:val="none" w:sz="0" w:space="0" w:color="auto"/>
        <w:right w:val="none" w:sz="0" w:space="0" w:color="auto"/>
      </w:divBdr>
    </w:div>
    <w:div w:id="1052658798">
      <w:bodyDiv w:val="1"/>
      <w:marLeft w:val="0"/>
      <w:marRight w:val="0"/>
      <w:marTop w:val="0"/>
      <w:marBottom w:val="0"/>
      <w:divBdr>
        <w:top w:val="none" w:sz="0" w:space="0" w:color="auto"/>
        <w:left w:val="none" w:sz="0" w:space="0" w:color="auto"/>
        <w:bottom w:val="none" w:sz="0" w:space="0" w:color="auto"/>
        <w:right w:val="none" w:sz="0" w:space="0" w:color="auto"/>
      </w:divBdr>
    </w:div>
    <w:div w:id="1052920404">
      <w:bodyDiv w:val="1"/>
      <w:marLeft w:val="0"/>
      <w:marRight w:val="0"/>
      <w:marTop w:val="0"/>
      <w:marBottom w:val="0"/>
      <w:divBdr>
        <w:top w:val="none" w:sz="0" w:space="0" w:color="auto"/>
        <w:left w:val="none" w:sz="0" w:space="0" w:color="auto"/>
        <w:bottom w:val="none" w:sz="0" w:space="0" w:color="auto"/>
        <w:right w:val="none" w:sz="0" w:space="0" w:color="auto"/>
      </w:divBdr>
    </w:div>
    <w:div w:id="105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3760596">
          <w:marLeft w:val="0"/>
          <w:marRight w:val="0"/>
          <w:marTop w:val="150"/>
          <w:marBottom w:val="300"/>
          <w:divBdr>
            <w:top w:val="none" w:sz="0" w:space="0" w:color="auto"/>
            <w:left w:val="none" w:sz="0" w:space="0" w:color="auto"/>
            <w:bottom w:val="none" w:sz="0" w:space="0" w:color="auto"/>
            <w:right w:val="none" w:sz="0" w:space="0" w:color="auto"/>
          </w:divBdr>
        </w:div>
        <w:div w:id="681205888">
          <w:marLeft w:val="0"/>
          <w:marRight w:val="0"/>
          <w:marTop w:val="150"/>
          <w:marBottom w:val="300"/>
          <w:divBdr>
            <w:top w:val="none" w:sz="0" w:space="0" w:color="auto"/>
            <w:left w:val="none" w:sz="0" w:space="0" w:color="auto"/>
            <w:bottom w:val="none" w:sz="0" w:space="0" w:color="auto"/>
            <w:right w:val="none" w:sz="0" w:space="0" w:color="auto"/>
          </w:divBdr>
        </w:div>
        <w:div w:id="1872649154">
          <w:marLeft w:val="0"/>
          <w:marRight w:val="0"/>
          <w:marTop w:val="150"/>
          <w:marBottom w:val="300"/>
          <w:divBdr>
            <w:top w:val="none" w:sz="0" w:space="0" w:color="auto"/>
            <w:left w:val="none" w:sz="0" w:space="0" w:color="auto"/>
            <w:bottom w:val="none" w:sz="0" w:space="0" w:color="auto"/>
            <w:right w:val="none" w:sz="0" w:space="0" w:color="auto"/>
          </w:divBdr>
        </w:div>
      </w:divsChild>
    </w:div>
    <w:div w:id="1060054475">
      <w:bodyDiv w:val="1"/>
      <w:marLeft w:val="0"/>
      <w:marRight w:val="0"/>
      <w:marTop w:val="0"/>
      <w:marBottom w:val="0"/>
      <w:divBdr>
        <w:top w:val="none" w:sz="0" w:space="0" w:color="auto"/>
        <w:left w:val="none" w:sz="0" w:space="0" w:color="auto"/>
        <w:bottom w:val="none" w:sz="0" w:space="0" w:color="auto"/>
        <w:right w:val="none" w:sz="0" w:space="0" w:color="auto"/>
      </w:divBdr>
    </w:div>
    <w:div w:id="1060590529">
      <w:bodyDiv w:val="1"/>
      <w:marLeft w:val="0"/>
      <w:marRight w:val="0"/>
      <w:marTop w:val="0"/>
      <w:marBottom w:val="0"/>
      <w:divBdr>
        <w:top w:val="none" w:sz="0" w:space="0" w:color="auto"/>
        <w:left w:val="none" w:sz="0" w:space="0" w:color="auto"/>
        <w:bottom w:val="none" w:sz="0" w:space="0" w:color="auto"/>
        <w:right w:val="none" w:sz="0" w:space="0" w:color="auto"/>
      </w:divBdr>
    </w:div>
    <w:div w:id="1064138532">
      <w:bodyDiv w:val="1"/>
      <w:marLeft w:val="0"/>
      <w:marRight w:val="0"/>
      <w:marTop w:val="0"/>
      <w:marBottom w:val="0"/>
      <w:divBdr>
        <w:top w:val="none" w:sz="0" w:space="0" w:color="auto"/>
        <w:left w:val="none" w:sz="0" w:space="0" w:color="auto"/>
        <w:bottom w:val="none" w:sz="0" w:space="0" w:color="auto"/>
        <w:right w:val="none" w:sz="0" w:space="0" w:color="auto"/>
      </w:divBdr>
    </w:div>
    <w:div w:id="1064840648">
      <w:bodyDiv w:val="1"/>
      <w:marLeft w:val="0"/>
      <w:marRight w:val="0"/>
      <w:marTop w:val="0"/>
      <w:marBottom w:val="0"/>
      <w:divBdr>
        <w:top w:val="none" w:sz="0" w:space="0" w:color="auto"/>
        <w:left w:val="none" w:sz="0" w:space="0" w:color="auto"/>
        <w:bottom w:val="none" w:sz="0" w:space="0" w:color="auto"/>
        <w:right w:val="none" w:sz="0" w:space="0" w:color="auto"/>
      </w:divBdr>
    </w:div>
    <w:div w:id="1071150145">
      <w:bodyDiv w:val="1"/>
      <w:marLeft w:val="0"/>
      <w:marRight w:val="0"/>
      <w:marTop w:val="0"/>
      <w:marBottom w:val="0"/>
      <w:divBdr>
        <w:top w:val="none" w:sz="0" w:space="0" w:color="auto"/>
        <w:left w:val="none" w:sz="0" w:space="0" w:color="auto"/>
        <w:bottom w:val="none" w:sz="0" w:space="0" w:color="auto"/>
        <w:right w:val="none" w:sz="0" w:space="0" w:color="auto"/>
      </w:divBdr>
    </w:div>
    <w:div w:id="1076629282">
      <w:bodyDiv w:val="1"/>
      <w:marLeft w:val="0"/>
      <w:marRight w:val="0"/>
      <w:marTop w:val="0"/>
      <w:marBottom w:val="0"/>
      <w:divBdr>
        <w:top w:val="none" w:sz="0" w:space="0" w:color="auto"/>
        <w:left w:val="none" w:sz="0" w:space="0" w:color="auto"/>
        <w:bottom w:val="none" w:sz="0" w:space="0" w:color="auto"/>
        <w:right w:val="none" w:sz="0" w:space="0" w:color="auto"/>
      </w:divBdr>
    </w:div>
    <w:div w:id="1086272492">
      <w:bodyDiv w:val="1"/>
      <w:marLeft w:val="0"/>
      <w:marRight w:val="0"/>
      <w:marTop w:val="0"/>
      <w:marBottom w:val="0"/>
      <w:divBdr>
        <w:top w:val="none" w:sz="0" w:space="0" w:color="auto"/>
        <w:left w:val="none" w:sz="0" w:space="0" w:color="auto"/>
        <w:bottom w:val="none" w:sz="0" w:space="0" w:color="auto"/>
        <w:right w:val="none" w:sz="0" w:space="0" w:color="auto"/>
      </w:divBdr>
    </w:div>
    <w:div w:id="1089733016">
      <w:bodyDiv w:val="1"/>
      <w:marLeft w:val="0"/>
      <w:marRight w:val="0"/>
      <w:marTop w:val="0"/>
      <w:marBottom w:val="0"/>
      <w:divBdr>
        <w:top w:val="none" w:sz="0" w:space="0" w:color="auto"/>
        <w:left w:val="none" w:sz="0" w:space="0" w:color="auto"/>
        <w:bottom w:val="none" w:sz="0" w:space="0" w:color="auto"/>
        <w:right w:val="none" w:sz="0" w:space="0" w:color="auto"/>
      </w:divBdr>
    </w:div>
    <w:div w:id="1098915484">
      <w:bodyDiv w:val="1"/>
      <w:marLeft w:val="0"/>
      <w:marRight w:val="0"/>
      <w:marTop w:val="0"/>
      <w:marBottom w:val="0"/>
      <w:divBdr>
        <w:top w:val="none" w:sz="0" w:space="0" w:color="auto"/>
        <w:left w:val="none" w:sz="0" w:space="0" w:color="auto"/>
        <w:bottom w:val="none" w:sz="0" w:space="0" w:color="auto"/>
        <w:right w:val="none" w:sz="0" w:space="0" w:color="auto"/>
      </w:divBdr>
    </w:div>
    <w:div w:id="1105005262">
      <w:bodyDiv w:val="1"/>
      <w:marLeft w:val="0"/>
      <w:marRight w:val="0"/>
      <w:marTop w:val="0"/>
      <w:marBottom w:val="0"/>
      <w:divBdr>
        <w:top w:val="none" w:sz="0" w:space="0" w:color="auto"/>
        <w:left w:val="none" w:sz="0" w:space="0" w:color="auto"/>
        <w:bottom w:val="none" w:sz="0" w:space="0" w:color="auto"/>
        <w:right w:val="none" w:sz="0" w:space="0" w:color="auto"/>
      </w:divBdr>
    </w:div>
    <w:div w:id="1114521324">
      <w:bodyDiv w:val="1"/>
      <w:marLeft w:val="0"/>
      <w:marRight w:val="0"/>
      <w:marTop w:val="0"/>
      <w:marBottom w:val="0"/>
      <w:divBdr>
        <w:top w:val="none" w:sz="0" w:space="0" w:color="auto"/>
        <w:left w:val="none" w:sz="0" w:space="0" w:color="auto"/>
        <w:bottom w:val="none" w:sz="0" w:space="0" w:color="auto"/>
        <w:right w:val="none" w:sz="0" w:space="0" w:color="auto"/>
      </w:divBdr>
    </w:div>
    <w:div w:id="1116825528">
      <w:bodyDiv w:val="1"/>
      <w:marLeft w:val="0"/>
      <w:marRight w:val="0"/>
      <w:marTop w:val="0"/>
      <w:marBottom w:val="0"/>
      <w:divBdr>
        <w:top w:val="none" w:sz="0" w:space="0" w:color="auto"/>
        <w:left w:val="none" w:sz="0" w:space="0" w:color="auto"/>
        <w:bottom w:val="none" w:sz="0" w:space="0" w:color="auto"/>
        <w:right w:val="none" w:sz="0" w:space="0" w:color="auto"/>
      </w:divBdr>
    </w:div>
    <w:div w:id="1117868558">
      <w:bodyDiv w:val="1"/>
      <w:marLeft w:val="0"/>
      <w:marRight w:val="0"/>
      <w:marTop w:val="0"/>
      <w:marBottom w:val="0"/>
      <w:divBdr>
        <w:top w:val="none" w:sz="0" w:space="0" w:color="auto"/>
        <w:left w:val="none" w:sz="0" w:space="0" w:color="auto"/>
        <w:bottom w:val="none" w:sz="0" w:space="0" w:color="auto"/>
        <w:right w:val="none" w:sz="0" w:space="0" w:color="auto"/>
      </w:divBdr>
    </w:div>
    <w:div w:id="1120415107">
      <w:bodyDiv w:val="1"/>
      <w:marLeft w:val="0"/>
      <w:marRight w:val="0"/>
      <w:marTop w:val="0"/>
      <w:marBottom w:val="0"/>
      <w:divBdr>
        <w:top w:val="none" w:sz="0" w:space="0" w:color="auto"/>
        <w:left w:val="none" w:sz="0" w:space="0" w:color="auto"/>
        <w:bottom w:val="none" w:sz="0" w:space="0" w:color="auto"/>
        <w:right w:val="none" w:sz="0" w:space="0" w:color="auto"/>
      </w:divBdr>
    </w:div>
    <w:div w:id="1125004018">
      <w:bodyDiv w:val="1"/>
      <w:marLeft w:val="0"/>
      <w:marRight w:val="0"/>
      <w:marTop w:val="0"/>
      <w:marBottom w:val="0"/>
      <w:divBdr>
        <w:top w:val="none" w:sz="0" w:space="0" w:color="auto"/>
        <w:left w:val="none" w:sz="0" w:space="0" w:color="auto"/>
        <w:bottom w:val="none" w:sz="0" w:space="0" w:color="auto"/>
        <w:right w:val="none" w:sz="0" w:space="0" w:color="auto"/>
      </w:divBdr>
    </w:div>
    <w:div w:id="1128161573">
      <w:bodyDiv w:val="1"/>
      <w:marLeft w:val="0"/>
      <w:marRight w:val="0"/>
      <w:marTop w:val="0"/>
      <w:marBottom w:val="0"/>
      <w:divBdr>
        <w:top w:val="none" w:sz="0" w:space="0" w:color="auto"/>
        <w:left w:val="none" w:sz="0" w:space="0" w:color="auto"/>
        <w:bottom w:val="none" w:sz="0" w:space="0" w:color="auto"/>
        <w:right w:val="none" w:sz="0" w:space="0" w:color="auto"/>
      </w:divBdr>
    </w:div>
    <w:div w:id="1132672425">
      <w:bodyDiv w:val="1"/>
      <w:marLeft w:val="0"/>
      <w:marRight w:val="0"/>
      <w:marTop w:val="0"/>
      <w:marBottom w:val="0"/>
      <w:divBdr>
        <w:top w:val="none" w:sz="0" w:space="0" w:color="auto"/>
        <w:left w:val="none" w:sz="0" w:space="0" w:color="auto"/>
        <w:bottom w:val="none" w:sz="0" w:space="0" w:color="auto"/>
        <w:right w:val="none" w:sz="0" w:space="0" w:color="auto"/>
      </w:divBdr>
    </w:div>
    <w:div w:id="1145005079">
      <w:bodyDiv w:val="1"/>
      <w:marLeft w:val="0"/>
      <w:marRight w:val="0"/>
      <w:marTop w:val="0"/>
      <w:marBottom w:val="0"/>
      <w:divBdr>
        <w:top w:val="none" w:sz="0" w:space="0" w:color="auto"/>
        <w:left w:val="none" w:sz="0" w:space="0" w:color="auto"/>
        <w:bottom w:val="none" w:sz="0" w:space="0" w:color="auto"/>
        <w:right w:val="none" w:sz="0" w:space="0" w:color="auto"/>
      </w:divBdr>
    </w:div>
    <w:div w:id="1147014574">
      <w:bodyDiv w:val="1"/>
      <w:marLeft w:val="0"/>
      <w:marRight w:val="0"/>
      <w:marTop w:val="0"/>
      <w:marBottom w:val="0"/>
      <w:divBdr>
        <w:top w:val="none" w:sz="0" w:space="0" w:color="auto"/>
        <w:left w:val="none" w:sz="0" w:space="0" w:color="auto"/>
        <w:bottom w:val="none" w:sz="0" w:space="0" w:color="auto"/>
        <w:right w:val="none" w:sz="0" w:space="0" w:color="auto"/>
      </w:divBdr>
    </w:div>
    <w:div w:id="1147168368">
      <w:bodyDiv w:val="1"/>
      <w:marLeft w:val="0"/>
      <w:marRight w:val="0"/>
      <w:marTop w:val="0"/>
      <w:marBottom w:val="0"/>
      <w:divBdr>
        <w:top w:val="none" w:sz="0" w:space="0" w:color="auto"/>
        <w:left w:val="none" w:sz="0" w:space="0" w:color="auto"/>
        <w:bottom w:val="none" w:sz="0" w:space="0" w:color="auto"/>
        <w:right w:val="none" w:sz="0" w:space="0" w:color="auto"/>
      </w:divBdr>
    </w:div>
    <w:div w:id="1147238241">
      <w:bodyDiv w:val="1"/>
      <w:marLeft w:val="0"/>
      <w:marRight w:val="0"/>
      <w:marTop w:val="0"/>
      <w:marBottom w:val="0"/>
      <w:divBdr>
        <w:top w:val="none" w:sz="0" w:space="0" w:color="auto"/>
        <w:left w:val="none" w:sz="0" w:space="0" w:color="auto"/>
        <w:bottom w:val="none" w:sz="0" w:space="0" w:color="auto"/>
        <w:right w:val="none" w:sz="0" w:space="0" w:color="auto"/>
      </w:divBdr>
    </w:div>
    <w:div w:id="1149400858">
      <w:bodyDiv w:val="1"/>
      <w:marLeft w:val="0"/>
      <w:marRight w:val="0"/>
      <w:marTop w:val="0"/>
      <w:marBottom w:val="0"/>
      <w:divBdr>
        <w:top w:val="none" w:sz="0" w:space="0" w:color="auto"/>
        <w:left w:val="none" w:sz="0" w:space="0" w:color="auto"/>
        <w:bottom w:val="none" w:sz="0" w:space="0" w:color="auto"/>
        <w:right w:val="none" w:sz="0" w:space="0" w:color="auto"/>
      </w:divBdr>
    </w:div>
    <w:div w:id="1161190147">
      <w:bodyDiv w:val="1"/>
      <w:marLeft w:val="0"/>
      <w:marRight w:val="0"/>
      <w:marTop w:val="0"/>
      <w:marBottom w:val="0"/>
      <w:divBdr>
        <w:top w:val="none" w:sz="0" w:space="0" w:color="auto"/>
        <w:left w:val="none" w:sz="0" w:space="0" w:color="auto"/>
        <w:bottom w:val="none" w:sz="0" w:space="0" w:color="auto"/>
        <w:right w:val="none" w:sz="0" w:space="0" w:color="auto"/>
      </w:divBdr>
    </w:div>
    <w:div w:id="1162816723">
      <w:bodyDiv w:val="1"/>
      <w:marLeft w:val="0"/>
      <w:marRight w:val="0"/>
      <w:marTop w:val="0"/>
      <w:marBottom w:val="0"/>
      <w:divBdr>
        <w:top w:val="none" w:sz="0" w:space="0" w:color="auto"/>
        <w:left w:val="none" w:sz="0" w:space="0" w:color="auto"/>
        <w:bottom w:val="none" w:sz="0" w:space="0" w:color="auto"/>
        <w:right w:val="none" w:sz="0" w:space="0" w:color="auto"/>
      </w:divBdr>
    </w:div>
    <w:div w:id="1172335420">
      <w:bodyDiv w:val="1"/>
      <w:marLeft w:val="0"/>
      <w:marRight w:val="0"/>
      <w:marTop w:val="0"/>
      <w:marBottom w:val="0"/>
      <w:divBdr>
        <w:top w:val="none" w:sz="0" w:space="0" w:color="auto"/>
        <w:left w:val="none" w:sz="0" w:space="0" w:color="auto"/>
        <w:bottom w:val="none" w:sz="0" w:space="0" w:color="auto"/>
        <w:right w:val="none" w:sz="0" w:space="0" w:color="auto"/>
      </w:divBdr>
    </w:div>
    <w:div w:id="1181623648">
      <w:bodyDiv w:val="1"/>
      <w:marLeft w:val="0"/>
      <w:marRight w:val="0"/>
      <w:marTop w:val="0"/>
      <w:marBottom w:val="0"/>
      <w:divBdr>
        <w:top w:val="none" w:sz="0" w:space="0" w:color="auto"/>
        <w:left w:val="none" w:sz="0" w:space="0" w:color="auto"/>
        <w:bottom w:val="none" w:sz="0" w:space="0" w:color="auto"/>
        <w:right w:val="none" w:sz="0" w:space="0" w:color="auto"/>
      </w:divBdr>
    </w:div>
    <w:div w:id="1184440189">
      <w:bodyDiv w:val="1"/>
      <w:marLeft w:val="0"/>
      <w:marRight w:val="0"/>
      <w:marTop w:val="0"/>
      <w:marBottom w:val="0"/>
      <w:divBdr>
        <w:top w:val="none" w:sz="0" w:space="0" w:color="auto"/>
        <w:left w:val="none" w:sz="0" w:space="0" w:color="auto"/>
        <w:bottom w:val="none" w:sz="0" w:space="0" w:color="auto"/>
        <w:right w:val="none" w:sz="0" w:space="0" w:color="auto"/>
      </w:divBdr>
    </w:div>
    <w:div w:id="1184713605">
      <w:bodyDiv w:val="1"/>
      <w:marLeft w:val="0"/>
      <w:marRight w:val="0"/>
      <w:marTop w:val="0"/>
      <w:marBottom w:val="0"/>
      <w:divBdr>
        <w:top w:val="none" w:sz="0" w:space="0" w:color="auto"/>
        <w:left w:val="none" w:sz="0" w:space="0" w:color="auto"/>
        <w:bottom w:val="none" w:sz="0" w:space="0" w:color="auto"/>
        <w:right w:val="none" w:sz="0" w:space="0" w:color="auto"/>
      </w:divBdr>
    </w:div>
    <w:div w:id="1189903436">
      <w:bodyDiv w:val="1"/>
      <w:marLeft w:val="0"/>
      <w:marRight w:val="0"/>
      <w:marTop w:val="0"/>
      <w:marBottom w:val="0"/>
      <w:divBdr>
        <w:top w:val="none" w:sz="0" w:space="0" w:color="auto"/>
        <w:left w:val="none" w:sz="0" w:space="0" w:color="auto"/>
        <w:bottom w:val="none" w:sz="0" w:space="0" w:color="auto"/>
        <w:right w:val="none" w:sz="0" w:space="0" w:color="auto"/>
      </w:divBdr>
    </w:div>
    <w:div w:id="1193609889">
      <w:bodyDiv w:val="1"/>
      <w:marLeft w:val="0"/>
      <w:marRight w:val="0"/>
      <w:marTop w:val="0"/>
      <w:marBottom w:val="0"/>
      <w:divBdr>
        <w:top w:val="none" w:sz="0" w:space="0" w:color="auto"/>
        <w:left w:val="none" w:sz="0" w:space="0" w:color="auto"/>
        <w:bottom w:val="none" w:sz="0" w:space="0" w:color="auto"/>
        <w:right w:val="none" w:sz="0" w:space="0" w:color="auto"/>
      </w:divBdr>
    </w:div>
    <w:div w:id="1204710188">
      <w:bodyDiv w:val="1"/>
      <w:marLeft w:val="0"/>
      <w:marRight w:val="0"/>
      <w:marTop w:val="0"/>
      <w:marBottom w:val="0"/>
      <w:divBdr>
        <w:top w:val="none" w:sz="0" w:space="0" w:color="auto"/>
        <w:left w:val="none" w:sz="0" w:space="0" w:color="auto"/>
        <w:bottom w:val="none" w:sz="0" w:space="0" w:color="auto"/>
        <w:right w:val="none" w:sz="0" w:space="0" w:color="auto"/>
      </w:divBdr>
    </w:div>
    <w:div w:id="1206983556">
      <w:bodyDiv w:val="1"/>
      <w:marLeft w:val="0"/>
      <w:marRight w:val="0"/>
      <w:marTop w:val="0"/>
      <w:marBottom w:val="0"/>
      <w:divBdr>
        <w:top w:val="none" w:sz="0" w:space="0" w:color="auto"/>
        <w:left w:val="none" w:sz="0" w:space="0" w:color="auto"/>
        <w:bottom w:val="none" w:sz="0" w:space="0" w:color="auto"/>
        <w:right w:val="none" w:sz="0" w:space="0" w:color="auto"/>
      </w:divBdr>
    </w:div>
    <w:div w:id="1207378273">
      <w:bodyDiv w:val="1"/>
      <w:marLeft w:val="0"/>
      <w:marRight w:val="0"/>
      <w:marTop w:val="0"/>
      <w:marBottom w:val="0"/>
      <w:divBdr>
        <w:top w:val="none" w:sz="0" w:space="0" w:color="auto"/>
        <w:left w:val="none" w:sz="0" w:space="0" w:color="auto"/>
        <w:bottom w:val="none" w:sz="0" w:space="0" w:color="auto"/>
        <w:right w:val="none" w:sz="0" w:space="0" w:color="auto"/>
      </w:divBdr>
    </w:div>
    <w:div w:id="1209684191">
      <w:bodyDiv w:val="1"/>
      <w:marLeft w:val="0"/>
      <w:marRight w:val="0"/>
      <w:marTop w:val="0"/>
      <w:marBottom w:val="0"/>
      <w:divBdr>
        <w:top w:val="none" w:sz="0" w:space="0" w:color="auto"/>
        <w:left w:val="none" w:sz="0" w:space="0" w:color="auto"/>
        <w:bottom w:val="none" w:sz="0" w:space="0" w:color="auto"/>
        <w:right w:val="none" w:sz="0" w:space="0" w:color="auto"/>
      </w:divBdr>
    </w:div>
    <w:div w:id="1211072273">
      <w:bodyDiv w:val="1"/>
      <w:marLeft w:val="0"/>
      <w:marRight w:val="0"/>
      <w:marTop w:val="0"/>
      <w:marBottom w:val="0"/>
      <w:divBdr>
        <w:top w:val="none" w:sz="0" w:space="0" w:color="auto"/>
        <w:left w:val="none" w:sz="0" w:space="0" w:color="auto"/>
        <w:bottom w:val="none" w:sz="0" w:space="0" w:color="auto"/>
        <w:right w:val="none" w:sz="0" w:space="0" w:color="auto"/>
      </w:divBdr>
    </w:div>
    <w:div w:id="1215387713">
      <w:bodyDiv w:val="1"/>
      <w:marLeft w:val="0"/>
      <w:marRight w:val="0"/>
      <w:marTop w:val="0"/>
      <w:marBottom w:val="0"/>
      <w:divBdr>
        <w:top w:val="none" w:sz="0" w:space="0" w:color="auto"/>
        <w:left w:val="none" w:sz="0" w:space="0" w:color="auto"/>
        <w:bottom w:val="none" w:sz="0" w:space="0" w:color="auto"/>
        <w:right w:val="none" w:sz="0" w:space="0" w:color="auto"/>
      </w:divBdr>
    </w:div>
    <w:div w:id="1222981809">
      <w:bodyDiv w:val="1"/>
      <w:marLeft w:val="0"/>
      <w:marRight w:val="0"/>
      <w:marTop w:val="0"/>
      <w:marBottom w:val="0"/>
      <w:divBdr>
        <w:top w:val="none" w:sz="0" w:space="0" w:color="auto"/>
        <w:left w:val="none" w:sz="0" w:space="0" w:color="auto"/>
        <w:bottom w:val="none" w:sz="0" w:space="0" w:color="auto"/>
        <w:right w:val="none" w:sz="0" w:space="0" w:color="auto"/>
      </w:divBdr>
    </w:div>
    <w:div w:id="1227567823">
      <w:bodyDiv w:val="1"/>
      <w:marLeft w:val="0"/>
      <w:marRight w:val="0"/>
      <w:marTop w:val="0"/>
      <w:marBottom w:val="0"/>
      <w:divBdr>
        <w:top w:val="none" w:sz="0" w:space="0" w:color="auto"/>
        <w:left w:val="none" w:sz="0" w:space="0" w:color="auto"/>
        <w:bottom w:val="none" w:sz="0" w:space="0" w:color="auto"/>
        <w:right w:val="none" w:sz="0" w:space="0" w:color="auto"/>
      </w:divBdr>
    </w:div>
    <w:div w:id="1229806400">
      <w:bodyDiv w:val="1"/>
      <w:marLeft w:val="0"/>
      <w:marRight w:val="0"/>
      <w:marTop w:val="0"/>
      <w:marBottom w:val="0"/>
      <w:divBdr>
        <w:top w:val="none" w:sz="0" w:space="0" w:color="auto"/>
        <w:left w:val="none" w:sz="0" w:space="0" w:color="auto"/>
        <w:bottom w:val="none" w:sz="0" w:space="0" w:color="auto"/>
        <w:right w:val="none" w:sz="0" w:space="0" w:color="auto"/>
      </w:divBdr>
    </w:div>
    <w:div w:id="1230920157">
      <w:bodyDiv w:val="1"/>
      <w:marLeft w:val="0"/>
      <w:marRight w:val="0"/>
      <w:marTop w:val="0"/>
      <w:marBottom w:val="0"/>
      <w:divBdr>
        <w:top w:val="none" w:sz="0" w:space="0" w:color="auto"/>
        <w:left w:val="none" w:sz="0" w:space="0" w:color="auto"/>
        <w:bottom w:val="none" w:sz="0" w:space="0" w:color="auto"/>
        <w:right w:val="none" w:sz="0" w:space="0" w:color="auto"/>
      </w:divBdr>
    </w:div>
    <w:div w:id="1233808698">
      <w:bodyDiv w:val="1"/>
      <w:marLeft w:val="0"/>
      <w:marRight w:val="0"/>
      <w:marTop w:val="0"/>
      <w:marBottom w:val="0"/>
      <w:divBdr>
        <w:top w:val="none" w:sz="0" w:space="0" w:color="auto"/>
        <w:left w:val="none" w:sz="0" w:space="0" w:color="auto"/>
        <w:bottom w:val="none" w:sz="0" w:space="0" w:color="auto"/>
        <w:right w:val="none" w:sz="0" w:space="0" w:color="auto"/>
      </w:divBdr>
    </w:div>
    <w:div w:id="1234122742">
      <w:bodyDiv w:val="1"/>
      <w:marLeft w:val="0"/>
      <w:marRight w:val="0"/>
      <w:marTop w:val="0"/>
      <w:marBottom w:val="0"/>
      <w:divBdr>
        <w:top w:val="none" w:sz="0" w:space="0" w:color="auto"/>
        <w:left w:val="none" w:sz="0" w:space="0" w:color="auto"/>
        <w:bottom w:val="none" w:sz="0" w:space="0" w:color="auto"/>
        <w:right w:val="none" w:sz="0" w:space="0" w:color="auto"/>
      </w:divBdr>
    </w:div>
    <w:div w:id="1239092485">
      <w:bodyDiv w:val="1"/>
      <w:marLeft w:val="0"/>
      <w:marRight w:val="0"/>
      <w:marTop w:val="0"/>
      <w:marBottom w:val="0"/>
      <w:divBdr>
        <w:top w:val="none" w:sz="0" w:space="0" w:color="auto"/>
        <w:left w:val="none" w:sz="0" w:space="0" w:color="auto"/>
        <w:bottom w:val="none" w:sz="0" w:space="0" w:color="auto"/>
        <w:right w:val="none" w:sz="0" w:space="0" w:color="auto"/>
      </w:divBdr>
    </w:div>
    <w:div w:id="1239637857">
      <w:bodyDiv w:val="1"/>
      <w:marLeft w:val="0"/>
      <w:marRight w:val="0"/>
      <w:marTop w:val="0"/>
      <w:marBottom w:val="0"/>
      <w:divBdr>
        <w:top w:val="none" w:sz="0" w:space="0" w:color="auto"/>
        <w:left w:val="none" w:sz="0" w:space="0" w:color="auto"/>
        <w:bottom w:val="none" w:sz="0" w:space="0" w:color="auto"/>
        <w:right w:val="none" w:sz="0" w:space="0" w:color="auto"/>
      </w:divBdr>
    </w:div>
    <w:div w:id="1243874440">
      <w:bodyDiv w:val="1"/>
      <w:marLeft w:val="0"/>
      <w:marRight w:val="0"/>
      <w:marTop w:val="0"/>
      <w:marBottom w:val="0"/>
      <w:divBdr>
        <w:top w:val="none" w:sz="0" w:space="0" w:color="auto"/>
        <w:left w:val="none" w:sz="0" w:space="0" w:color="auto"/>
        <w:bottom w:val="none" w:sz="0" w:space="0" w:color="auto"/>
        <w:right w:val="none" w:sz="0" w:space="0" w:color="auto"/>
      </w:divBdr>
    </w:div>
    <w:div w:id="1246766438">
      <w:bodyDiv w:val="1"/>
      <w:marLeft w:val="0"/>
      <w:marRight w:val="0"/>
      <w:marTop w:val="0"/>
      <w:marBottom w:val="0"/>
      <w:divBdr>
        <w:top w:val="none" w:sz="0" w:space="0" w:color="auto"/>
        <w:left w:val="none" w:sz="0" w:space="0" w:color="auto"/>
        <w:bottom w:val="none" w:sz="0" w:space="0" w:color="auto"/>
        <w:right w:val="none" w:sz="0" w:space="0" w:color="auto"/>
      </w:divBdr>
    </w:div>
    <w:div w:id="1248885063">
      <w:bodyDiv w:val="1"/>
      <w:marLeft w:val="0"/>
      <w:marRight w:val="0"/>
      <w:marTop w:val="0"/>
      <w:marBottom w:val="0"/>
      <w:divBdr>
        <w:top w:val="none" w:sz="0" w:space="0" w:color="auto"/>
        <w:left w:val="none" w:sz="0" w:space="0" w:color="auto"/>
        <w:bottom w:val="none" w:sz="0" w:space="0" w:color="auto"/>
        <w:right w:val="none" w:sz="0" w:space="0" w:color="auto"/>
      </w:divBdr>
    </w:div>
    <w:div w:id="1262567234">
      <w:bodyDiv w:val="1"/>
      <w:marLeft w:val="0"/>
      <w:marRight w:val="0"/>
      <w:marTop w:val="0"/>
      <w:marBottom w:val="0"/>
      <w:divBdr>
        <w:top w:val="none" w:sz="0" w:space="0" w:color="auto"/>
        <w:left w:val="none" w:sz="0" w:space="0" w:color="auto"/>
        <w:bottom w:val="none" w:sz="0" w:space="0" w:color="auto"/>
        <w:right w:val="none" w:sz="0" w:space="0" w:color="auto"/>
      </w:divBdr>
    </w:div>
    <w:div w:id="1268080386">
      <w:bodyDiv w:val="1"/>
      <w:marLeft w:val="0"/>
      <w:marRight w:val="0"/>
      <w:marTop w:val="0"/>
      <w:marBottom w:val="0"/>
      <w:divBdr>
        <w:top w:val="none" w:sz="0" w:space="0" w:color="auto"/>
        <w:left w:val="none" w:sz="0" w:space="0" w:color="auto"/>
        <w:bottom w:val="none" w:sz="0" w:space="0" w:color="auto"/>
        <w:right w:val="none" w:sz="0" w:space="0" w:color="auto"/>
      </w:divBdr>
    </w:div>
    <w:div w:id="1269972276">
      <w:bodyDiv w:val="1"/>
      <w:marLeft w:val="0"/>
      <w:marRight w:val="0"/>
      <w:marTop w:val="0"/>
      <w:marBottom w:val="0"/>
      <w:divBdr>
        <w:top w:val="none" w:sz="0" w:space="0" w:color="auto"/>
        <w:left w:val="none" w:sz="0" w:space="0" w:color="auto"/>
        <w:bottom w:val="none" w:sz="0" w:space="0" w:color="auto"/>
        <w:right w:val="none" w:sz="0" w:space="0" w:color="auto"/>
      </w:divBdr>
    </w:div>
    <w:div w:id="1277759275">
      <w:bodyDiv w:val="1"/>
      <w:marLeft w:val="0"/>
      <w:marRight w:val="0"/>
      <w:marTop w:val="0"/>
      <w:marBottom w:val="0"/>
      <w:divBdr>
        <w:top w:val="none" w:sz="0" w:space="0" w:color="auto"/>
        <w:left w:val="none" w:sz="0" w:space="0" w:color="auto"/>
        <w:bottom w:val="none" w:sz="0" w:space="0" w:color="auto"/>
        <w:right w:val="none" w:sz="0" w:space="0" w:color="auto"/>
      </w:divBdr>
    </w:div>
    <w:div w:id="1278953836">
      <w:bodyDiv w:val="1"/>
      <w:marLeft w:val="0"/>
      <w:marRight w:val="0"/>
      <w:marTop w:val="0"/>
      <w:marBottom w:val="0"/>
      <w:divBdr>
        <w:top w:val="none" w:sz="0" w:space="0" w:color="auto"/>
        <w:left w:val="none" w:sz="0" w:space="0" w:color="auto"/>
        <w:bottom w:val="none" w:sz="0" w:space="0" w:color="auto"/>
        <w:right w:val="none" w:sz="0" w:space="0" w:color="auto"/>
      </w:divBdr>
    </w:div>
    <w:div w:id="1282878628">
      <w:bodyDiv w:val="1"/>
      <w:marLeft w:val="0"/>
      <w:marRight w:val="0"/>
      <w:marTop w:val="0"/>
      <w:marBottom w:val="0"/>
      <w:divBdr>
        <w:top w:val="none" w:sz="0" w:space="0" w:color="auto"/>
        <w:left w:val="none" w:sz="0" w:space="0" w:color="auto"/>
        <w:bottom w:val="none" w:sz="0" w:space="0" w:color="auto"/>
        <w:right w:val="none" w:sz="0" w:space="0" w:color="auto"/>
      </w:divBdr>
    </w:div>
    <w:div w:id="1284849203">
      <w:bodyDiv w:val="1"/>
      <w:marLeft w:val="0"/>
      <w:marRight w:val="0"/>
      <w:marTop w:val="0"/>
      <w:marBottom w:val="0"/>
      <w:divBdr>
        <w:top w:val="none" w:sz="0" w:space="0" w:color="auto"/>
        <w:left w:val="none" w:sz="0" w:space="0" w:color="auto"/>
        <w:bottom w:val="none" w:sz="0" w:space="0" w:color="auto"/>
        <w:right w:val="none" w:sz="0" w:space="0" w:color="auto"/>
      </w:divBdr>
    </w:div>
    <w:div w:id="1290016913">
      <w:bodyDiv w:val="1"/>
      <w:marLeft w:val="0"/>
      <w:marRight w:val="0"/>
      <w:marTop w:val="0"/>
      <w:marBottom w:val="0"/>
      <w:divBdr>
        <w:top w:val="none" w:sz="0" w:space="0" w:color="auto"/>
        <w:left w:val="none" w:sz="0" w:space="0" w:color="auto"/>
        <w:bottom w:val="none" w:sz="0" w:space="0" w:color="auto"/>
        <w:right w:val="none" w:sz="0" w:space="0" w:color="auto"/>
      </w:divBdr>
    </w:div>
    <w:div w:id="1291596657">
      <w:bodyDiv w:val="1"/>
      <w:marLeft w:val="0"/>
      <w:marRight w:val="0"/>
      <w:marTop w:val="0"/>
      <w:marBottom w:val="0"/>
      <w:divBdr>
        <w:top w:val="none" w:sz="0" w:space="0" w:color="auto"/>
        <w:left w:val="none" w:sz="0" w:space="0" w:color="auto"/>
        <w:bottom w:val="none" w:sz="0" w:space="0" w:color="auto"/>
        <w:right w:val="none" w:sz="0" w:space="0" w:color="auto"/>
      </w:divBdr>
    </w:div>
    <w:div w:id="1296132413">
      <w:bodyDiv w:val="1"/>
      <w:marLeft w:val="0"/>
      <w:marRight w:val="0"/>
      <w:marTop w:val="0"/>
      <w:marBottom w:val="0"/>
      <w:divBdr>
        <w:top w:val="none" w:sz="0" w:space="0" w:color="auto"/>
        <w:left w:val="none" w:sz="0" w:space="0" w:color="auto"/>
        <w:bottom w:val="none" w:sz="0" w:space="0" w:color="auto"/>
        <w:right w:val="none" w:sz="0" w:space="0" w:color="auto"/>
      </w:divBdr>
    </w:div>
    <w:div w:id="1297948220">
      <w:bodyDiv w:val="1"/>
      <w:marLeft w:val="0"/>
      <w:marRight w:val="0"/>
      <w:marTop w:val="0"/>
      <w:marBottom w:val="0"/>
      <w:divBdr>
        <w:top w:val="none" w:sz="0" w:space="0" w:color="auto"/>
        <w:left w:val="none" w:sz="0" w:space="0" w:color="auto"/>
        <w:bottom w:val="none" w:sz="0" w:space="0" w:color="auto"/>
        <w:right w:val="none" w:sz="0" w:space="0" w:color="auto"/>
      </w:divBdr>
    </w:div>
    <w:div w:id="1300384193">
      <w:bodyDiv w:val="1"/>
      <w:marLeft w:val="0"/>
      <w:marRight w:val="0"/>
      <w:marTop w:val="0"/>
      <w:marBottom w:val="0"/>
      <w:divBdr>
        <w:top w:val="none" w:sz="0" w:space="0" w:color="auto"/>
        <w:left w:val="none" w:sz="0" w:space="0" w:color="auto"/>
        <w:bottom w:val="none" w:sz="0" w:space="0" w:color="auto"/>
        <w:right w:val="none" w:sz="0" w:space="0" w:color="auto"/>
      </w:divBdr>
    </w:div>
    <w:div w:id="1314068412">
      <w:bodyDiv w:val="1"/>
      <w:marLeft w:val="0"/>
      <w:marRight w:val="0"/>
      <w:marTop w:val="0"/>
      <w:marBottom w:val="0"/>
      <w:divBdr>
        <w:top w:val="none" w:sz="0" w:space="0" w:color="auto"/>
        <w:left w:val="none" w:sz="0" w:space="0" w:color="auto"/>
        <w:bottom w:val="none" w:sz="0" w:space="0" w:color="auto"/>
        <w:right w:val="none" w:sz="0" w:space="0" w:color="auto"/>
      </w:divBdr>
    </w:div>
    <w:div w:id="1329357885">
      <w:bodyDiv w:val="1"/>
      <w:marLeft w:val="0"/>
      <w:marRight w:val="0"/>
      <w:marTop w:val="0"/>
      <w:marBottom w:val="0"/>
      <w:divBdr>
        <w:top w:val="none" w:sz="0" w:space="0" w:color="auto"/>
        <w:left w:val="none" w:sz="0" w:space="0" w:color="auto"/>
        <w:bottom w:val="none" w:sz="0" w:space="0" w:color="auto"/>
        <w:right w:val="none" w:sz="0" w:space="0" w:color="auto"/>
      </w:divBdr>
    </w:div>
    <w:div w:id="1330672503">
      <w:bodyDiv w:val="1"/>
      <w:marLeft w:val="0"/>
      <w:marRight w:val="0"/>
      <w:marTop w:val="0"/>
      <w:marBottom w:val="0"/>
      <w:divBdr>
        <w:top w:val="none" w:sz="0" w:space="0" w:color="auto"/>
        <w:left w:val="none" w:sz="0" w:space="0" w:color="auto"/>
        <w:bottom w:val="none" w:sz="0" w:space="0" w:color="auto"/>
        <w:right w:val="none" w:sz="0" w:space="0" w:color="auto"/>
      </w:divBdr>
    </w:div>
    <w:div w:id="1332367436">
      <w:bodyDiv w:val="1"/>
      <w:marLeft w:val="0"/>
      <w:marRight w:val="0"/>
      <w:marTop w:val="0"/>
      <w:marBottom w:val="0"/>
      <w:divBdr>
        <w:top w:val="none" w:sz="0" w:space="0" w:color="auto"/>
        <w:left w:val="none" w:sz="0" w:space="0" w:color="auto"/>
        <w:bottom w:val="none" w:sz="0" w:space="0" w:color="auto"/>
        <w:right w:val="none" w:sz="0" w:space="0" w:color="auto"/>
      </w:divBdr>
    </w:div>
    <w:div w:id="1332683859">
      <w:bodyDiv w:val="1"/>
      <w:marLeft w:val="0"/>
      <w:marRight w:val="0"/>
      <w:marTop w:val="0"/>
      <w:marBottom w:val="0"/>
      <w:divBdr>
        <w:top w:val="none" w:sz="0" w:space="0" w:color="auto"/>
        <w:left w:val="none" w:sz="0" w:space="0" w:color="auto"/>
        <w:bottom w:val="none" w:sz="0" w:space="0" w:color="auto"/>
        <w:right w:val="none" w:sz="0" w:space="0" w:color="auto"/>
      </w:divBdr>
    </w:div>
    <w:div w:id="1333290219">
      <w:bodyDiv w:val="1"/>
      <w:marLeft w:val="0"/>
      <w:marRight w:val="0"/>
      <w:marTop w:val="0"/>
      <w:marBottom w:val="0"/>
      <w:divBdr>
        <w:top w:val="none" w:sz="0" w:space="0" w:color="auto"/>
        <w:left w:val="none" w:sz="0" w:space="0" w:color="auto"/>
        <w:bottom w:val="none" w:sz="0" w:space="0" w:color="auto"/>
        <w:right w:val="none" w:sz="0" w:space="0" w:color="auto"/>
      </w:divBdr>
    </w:div>
    <w:div w:id="1335718866">
      <w:bodyDiv w:val="1"/>
      <w:marLeft w:val="0"/>
      <w:marRight w:val="0"/>
      <w:marTop w:val="0"/>
      <w:marBottom w:val="0"/>
      <w:divBdr>
        <w:top w:val="none" w:sz="0" w:space="0" w:color="auto"/>
        <w:left w:val="none" w:sz="0" w:space="0" w:color="auto"/>
        <w:bottom w:val="none" w:sz="0" w:space="0" w:color="auto"/>
        <w:right w:val="none" w:sz="0" w:space="0" w:color="auto"/>
      </w:divBdr>
    </w:div>
    <w:div w:id="1344937177">
      <w:bodyDiv w:val="1"/>
      <w:marLeft w:val="0"/>
      <w:marRight w:val="0"/>
      <w:marTop w:val="0"/>
      <w:marBottom w:val="0"/>
      <w:divBdr>
        <w:top w:val="none" w:sz="0" w:space="0" w:color="auto"/>
        <w:left w:val="none" w:sz="0" w:space="0" w:color="auto"/>
        <w:bottom w:val="none" w:sz="0" w:space="0" w:color="auto"/>
        <w:right w:val="none" w:sz="0" w:space="0" w:color="auto"/>
      </w:divBdr>
    </w:div>
    <w:div w:id="1349141005">
      <w:bodyDiv w:val="1"/>
      <w:marLeft w:val="0"/>
      <w:marRight w:val="0"/>
      <w:marTop w:val="0"/>
      <w:marBottom w:val="0"/>
      <w:divBdr>
        <w:top w:val="none" w:sz="0" w:space="0" w:color="auto"/>
        <w:left w:val="none" w:sz="0" w:space="0" w:color="auto"/>
        <w:bottom w:val="none" w:sz="0" w:space="0" w:color="auto"/>
        <w:right w:val="none" w:sz="0" w:space="0" w:color="auto"/>
      </w:divBdr>
    </w:div>
    <w:div w:id="1351641264">
      <w:bodyDiv w:val="1"/>
      <w:marLeft w:val="0"/>
      <w:marRight w:val="0"/>
      <w:marTop w:val="0"/>
      <w:marBottom w:val="0"/>
      <w:divBdr>
        <w:top w:val="none" w:sz="0" w:space="0" w:color="auto"/>
        <w:left w:val="none" w:sz="0" w:space="0" w:color="auto"/>
        <w:bottom w:val="none" w:sz="0" w:space="0" w:color="auto"/>
        <w:right w:val="none" w:sz="0" w:space="0" w:color="auto"/>
      </w:divBdr>
    </w:div>
    <w:div w:id="1351877535">
      <w:bodyDiv w:val="1"/>
      <w:marLeft w:val="0"/>
      <w:marRight w:val="0"/>
      <w:marTop w:val="0"/>
      <w:marBottom w:val="0"/>
      <w:divBdr>
        <w:top w:val="none" w:sz="0" w:space="0" w:color="auto"/>
        <w:left w:val="none" w:sz="0" w:space="0" w:color="auto"/>
        <w:bottom w:val="none" w:sz="0" w:space="0" w:color="auto"/>
        <w:right w:val="none" w:sz="0" w:space="0" w:color="auto"/>
      </w:divBdr>
    </w:div>
    <w:div w:id="1352802643">
      <w:bodyDiv w:val="1"/>
      <w:marLeft w:val="0"/>
      <w:marRight w:val="0"/>
      <w:marTop w:val="0"/>
      <w:marBottom w:val="0"/>
      <w:divBdr>
        <w:top w:val="none" w:sz="0" w:space="0" w:color="auto"/>
        <w:left w:val="none" w:sz="0" w:space="0" w:color="auto"/>
        <w:bottom w:val="none" w:sz="0" w:space="0" w:color="auto"/>
        <w:right w:val="none" w:sz="0" w:space="0" w:color="auto"/>
      </w:divBdr>
    </w:div>
    <w:div w:id="1355880207">
      <w:bodyDiv w:val="1"/>
      <w:marLeft w:val="0"/>
      <w:marRight w:val="0"/>
      <w:marTop w:val="0"/>
      <w:marBottom w:val="0"/>
      <w:divBdr>
        <w:top w:val="none" w:sz="0" w:space="0" w:color="auto"/>
        <w:left w:val="none" w:sz="0" w:space="0" w:color="auto"/>
        <w:bottom w:val="none" w:sz="0" w:space="0" w:color="auto"/>
        <w:right w:val="none" w:sz="0" w:space="0" w:color="auto"/>
      </w:divBdr>
    </w:div>
    <w:div w:id="1355963385">
      <w:bodyDiv w:val="1"/>
      <w:marLeft w:val="0"/>
      <w:marRight w:val="0"/>
      <w:marTop w:val="0"/>
      <w:marBottom w:val="0"/>
      <w:divBdr>
        <w:top w:val="none" w:sz="0" w:space="0" w:color="auto"/>
        <w:left w:val="none" w:sz="0" w:space="0" w:color="auto"/>
        <w:bottom w:val="none" w:sz="0" w:space="0" w:color="auto"/>
        <w:right w:val="none" w:sz="0" w:space="0" w:color="auto"/>
      </w:divBdr>
    </w:div>
    <w:div w:id="1360354312">
      <w:bodyDiv w:val="1"/>
      <w:marLeft w:val="0"/>
      <w:marRight w:val="0"/>
      <w:marTop w:val="0"/>
      <w:marBottom w:val="0"/>
      <w:divBdr>
        <w:top w:val="none" w:sz="0" w:space="0" w:color="auto"/>
        <w:left w:val="none" w:sz="0" w:space="0" w:color="auto"/>
        <w:bottom w:val="none" w:sz="0" w:space="0" w:color="auto"/>
        <w:right w:val="none" w:sz="0" w:space="0" w:color="auto"/>
      </w:divBdr>
    </w:div>
    <w:div w:id="1360425877">
      <w:bodyDiv w:val="1"/>
      <w:marLeft w:val="0"/>
      <w:marRight w:val="0"/>
      <w:marTop w:val="0"/>
      <w:marBottom w:val="0"/>
      <w:divBdr>
        <w:top w:val="none" w:sz="0" w:space="0" w:color="auto"/>
        <w:left w:val="none" w:sz="0" w:space="0" w:color="auto"/>
        <w:bottom w:val="none" w:sz="0" w:space="0" w:color="auto"/>
        <w:right w:val="none" w:sz="0" w:space="0" w:color="auto"/>
      </w:divBdr>
    </w:div>
    <w:div w:id="1370882455">
      <w:bodyDiv w:val="1"/>
      <w:marLeft w:val="0"/>
      <w:marRight w:val="0"/>
      <w:marTop w:val="0"/>
      <w:marBottom w:val="0"/>
      <w:divBdr>
        <w:top w:val="none" w:sz="0" w:space="0" w:color="auto"/>
        <w:left w:val="none" w:sz="0" w:space="0" w:color="auto"/>
        <w:bottom w:val="none" w:sz="0" w:space="0" w:color="auto"/>
        <w:right w:val="none" w:sz="0" w:space="0" w:color="auto"/>
      </w:divBdr>
    </w:div>
    <w:div w:id="1373918335">
      <w:bodyDiv w:val="1"/>
      <w:marLeft w:val="0"/>
      <w:marRight w:val="0"/>
      <w:marTop w:val="0"/>
      <w:marBottom w:val="0"/>
      <w:divBdr>
        <w:top w:val="none" w:sz="0" w:space="0" w:color="auto"/>
        <w:left w:val="none" w:sz="0" w:space="0" w:color="auto"/>
        <w:bottom w:val="none" w:sz="0" w:space="0" w:color="auto"/>
        <w:right w:val="none" w:sz="0" w:space="0" w:color="auto"/>
      </w:divBdr>
    </w:div>
    <w:div w:id="1375884736">
      <w:bodyDiv w:val="1"/>
      <w:marLeft w:val="0"/>
      <w:marRight w:val="0"/>
      <w:marTop w:val="0"/>
      <w:marBottom w:val="0"/>
      <w:divBdr>
        <w:top w:val="none" w:sz="0" w:space="0" w:color="auto"/>
        <w:left w:val="none" w:sz="0" w:space="0" w:color="auto"/>
        <w:bottom w:val="none" w:sz="0" w:space="0" w:color="auto"/>
        <w:right w:val="none" w:sz="0" w:space="0" w:color="auto"/>
      </w:divBdr>
    </w:div>
    <w:div w:id="1378551236">
      <w:bodyDiv w:val="1"/>
      <w:marLeft w:val="0"/>
      <w:marRight w:val="0"/>
      <w:marTop w:val="0"/>
      <w:marBottom w:val="0"/>
      <w:divBdr>
        <w:top w:val="none" w:sz="0" w:space="0" w:color="auto"/>
        <w:left w:val="none" w:sz="0" w:space="0" w:color="auto"/>
        <w:bottom w:val="none" w:sz="0" w:space="0" w:color="auto"/>
        <w:right w:val="none" w:sz="0" w:space="0" w:color="auto"/>
      </w:divBdr>
    </w:div>
    <w:div w:id="1380279188">
      <w:bodyDiv w:val="1"/>
      <w:marLeft w:val="0"/>
      <w:marRight w:val="0"/>
      <w:marTop w:val="0"/>
      <w:marBottom w:val="0"/>
      <w:divBdr>
        <w:top w:val="none" w:sz="0" w:space="0" w:color="auto"/>
        <w:left w:val="none" w:sz="0" w:space="0" w:color="auto"/>
        <w:bottom w:val="none" w:sz="0" w:space="0" w:color="auto"/>
        <w:right w:val="none" w:sz="0" w:space="0" w:color="auto"/>
      </w:divBdr>
    </w:div>
    <w:div w:id="1399671438">
      <w:bodyDiv w:val="1"/>
      <w:marLeft w:val="0"/>
      <w:marRight w:val="0"/>
      <w:marTop w:val="0"/>
      <w:marBottom w:val="0"/>
      <w:divBdr>
        <w:top w:val="none" w:sz="0" w:space="0" w:color="auto"/>
        <w:left w:val="none" w:sz="0" w:space="0" w:color="auto"/>
        <w:bottom w:val="none" w:sz="0" w:space="0" w:color="auto"/>
        <w:right w:val="none" w:sz="0" w:space="0" w:color="auto"/>
      </w:divBdr>
    </w:div>
    <w:div w:id="1401832901">
      <w:bodyDiv w:val="1"/>
      <w:marLeft w:val="0"/>
      <w:marRight w:val="0"/>
      <w:marTop w:val="0"/>
      <w:marBottom w:val="0"/>
      <w:divBdr>
        <w:top w:val="none" w:sz="0" w:space="0" w:color="auto"/>
        <w:left w:val="none" w:sz="0" w:space="0" w:color="auto"/>
        <w:bottom w:val="none" w:sz="0" w:space="0" w:color="auto"/>
        <w:right w:val="none" w:sz="0" w:space="0" w:color="auto"/>
      </w:divBdr>
    </w:div>
    <w:div w:id="1402943882">
      <w:bodyDiv w:val="1"/>
      <w:marLeft w:val="0"/>
      <w:marRight w:val="0"/>
      <w:marTop w:val="0"/>
      <w:marBottom w:val="0"/>
      <w:divBdr>
        <w:top w:val="none" w:sz="0" w:space="0" w:color="auto"/>
        <w:left w:val="none" w:sz="0" w:space="0" w:color="auto"/>
        <w:bottom w:val="none" w:sz="0" w:space="0" w:color="auto"/>
        <w:right w:val="none" w:sz="0" w:space="0" w:color="auto"/>
      </w:divBdr>
    </w:div>
    <w:div w:id="1409768132">
      <w:bodyDiv w:val="1"/>
      <w:marLeft w:val="0"/>
      <w:marRight w:val="0"/>
      <w:marTop w:val="0"/>
      <w:marBottom w:val="0"/>
      <w:divBdr>
        <w:top w:val="none" w:sz="0" w:space="0" w:color="auto"/>
        <w:left w:val="none" w:sz="0" w:space="0" w:color="auto"/>
        <w:bottom w:val="none" w:sz="0" w:space="0" w:color="auto"/>
        <w:right w:val="none" w:sz="0" w:space="0" w:color="auto"/>
      </w:divBdr>
    </w:div>
    <w:div w:id="1411002195">
      <w:bodyDiv w:val="1"/>
      <w:marLeft w:val="0"/>
      <w:marRight w:val="0"/>
      <w:marTop w:val="0"/>
      <w:marBottom w:val="0"/>
      <w:divBdr>
        <w:top w:val="none" w:sz="0" w:space="0" w:color="auto"/>
        <w:left w:val="none" w:sz="0" w:space="0" w:color="auto"/>
        <w:bottom w:val="none" w:sz="0" w:space="0" w:color="auto"/>
        <w:right w:val="none" w:sz="0" w:space="0" w:color="auto"/>
      </w:divBdr>
    </w:div>
    <w:div w:id="1414158901">
      <w:bodyDiv w:val="1"/>
      <w:marLeft w:val="0"/>
      <w:marRight w:val="0"/>
      <w:marTop w:val="0"/>
      <w:marBottom w:val="0"/>
      <w:divBdr>
        <w:top w:val="none" w:sz="0" w:space="0" w:color="auto"/>
        <w:left w:val="none" w:sz="0" w:space="0" w:color="auto"/>
        <w:bottom w:val="none" w:sz="0" w:space="0" w:color="auto"/>
        <w:right w:val="none" w:sz="0" w:space="0" w:color="auto"/>
      </w:divBdr>
    </w:div>
    <w:div w:id="1414164255">
      <w:bodyDiv w:val="1"/>
      <w:marLeft w:val="0"/>
      <w:marRight w:val="0"/>
      <w:marTop w:val="0"/>
      <w:marBottom w:val="0"/>
      <w:divBdr>
        <w:top w:val="none" w:sz="0" w:space="0" w:color="auto"/>
        <w:left w:val="none" w:sz="0" w:space="0" w:color="auto"/>
        <w:bottom w:val="none" w:sz="0" w:space="0" w:color="auto"/>
        <w:right w:val="none" w:sz="0" w:space="0" w:color="auto"/>
      </w:divBdr>
    </w:div>
    <w:div w:id="1417484780">
      <w:bodyDiv w:val="1"/>
      <w:marLeft w:val="0"/>
      <w:marRight w:val="0"/>
      <w:marTop w:val="0"/>
      <w:marBottom w:val="0"/>
      <w:divBdr>
        <w:top w:val="none" w:sz="0" w:space="0" w:color="auto"/>
        <w:left w:val="none" w:sz="0" w:space="0" w:color="auto"/>
        <w:bottom w:val="none" w:sz="0" w:space="0" w:color="auto"/>
        <w:right w:val="none" w:sz="0" w:space="0" w:color="auto"/>
      </w:divBdr>
    </w:div>
    <w:div w:id="1425801236">
      <w:bodyDiv w:val="1"/>
      <w:marLeft w:val="0"/>
      <w:marRight w:val="0"/>
      <w:marTop w:val="0"/>
      <w:marBottom w:val="0"/>
      <w:divBdr>
        <w:top w:val="none" w:sz="0" w:space="0" w:color="auto"/>
        <w:left w:val="none" w:sz="0" w:space="0" w:color="auto"/>
        <w:bottom w:val="none" w:sz="0" w:space="0" w:color="auto"/>
        <w:right w:val="none" w:sz="0" w:space="0" w:color="auto"/>
      </w:divBdr>
    </w:div>
    <w:div w:id="1431119905">
      <w:bodyDiv w:val="1"/>
      <w:marLeft w:val="0"/>
      <w:marRight w:val="0"/>
      <w:marTop w:val="0"/>
      <w:marBottom w:val="0"/>
      <w:divBdr>
        <w:top w:val="none" w:sz="0" w:space="0" w:color="auto"/>
        <w:left w:val="none" w:sz="0" w:space="0" w:color="auto"/>
        <w:bottom w:val="none" w:sz="0" w:space="0" w:color="auto"/>
        <w:right w:val="none" w:sz="0" w:space="0" w:color="auto"/>
      </w:divBdr>
    </w:div>
    <w:div w:id="1431700156">
      <w:bodyDiv w:val="1"/>
      <w:marLeft w:val="0"/>
      <w:marRight w:val="0"/>
      <w:marTop w:val="0"/>
      <w:marBottom w:val="0"/>
      <w:divBdr>
        <w:top w:val="none" w:sz="0" w:space="0" w:color="auto"/>
        <w:left w:val="none" w:sz="0" w:space="0" w:color="auto"/>
        <w:bottom w:val="none" w:sz="0" w:space="0" w:color="auto"/>
        <w:right w:val="none" w:sz="0" w:space="0" w:color="auto"/>
      </w:divBdr>
    </w:div>
    <w:div w:id="1434592932">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5511453">
      <w:bodyDiv w:val="1"/>
      <w:marLeft w:val="0"/>
      <w:marRight w:val="0"/>
      <w:marTop w:val="0"/>
      <w:marBottom w:val="0"/>
      <w:divBdr>
        <w:top w:val="none" w:sz="0" w:space="0" w:color="auto"/>
        <w:left w:val="none" w:sz="0" w:space="0" w:color="auto"/>
        <w:bottom w:val="none" w:sz="0" w:space="0" w:color="auto"/>
        <w:right w:val="none" w:sz="0" w:space="0" w:color="auto"/>
      </w:divBdr>
    </w:div>
    <w:div w:id="1437599161">
      <w:bodyDiv w:val="1"/>
      <w:marLeft w:val="0"/>
      <w:marRight w:val="0"/>
      <w:marTop w:val="0"/>
      <w:marBottom w:val="0"/>
      <w:divBdr>
        <w:top w:val="none" w:sz="0" w:space="0" w:color="auto"/>
        <w:left w:val="none" w:sz="0" w:space="0" w:color="auto"/>
        <w:bottom w:val="none" w:sz="0" w:space="0" w:color="auto"/>
        <w:right w:val="none" w:sz="0" w:space="0" w:color="auto"/>
      </w:divBdr>
    </w:div>
    <w:div w:id="1451120716">
      <w:bodyDiv w:val="1"/>
      <w:marLeft w:val="0"/>
      <w:marRight w:val="0"/>
      <w:marTop w:val="0"/>
      <w:marBottom w:val="0"/>
      <w:divBdr>
        <w:top w:val="none" w:sz="0" w:space="0" w:color="auto"/>
        <w:left w:val="none" w:sz="0" w:space="0" w:color="auto"/>
        <w:bottom w:val="none" w:sz="0" w:space="0" w:color="auto"/>
        <w:right w:val="none" w:sz="0" w:space="0" w:color="auto"/>
      </w:divBdr>
    </w:div>
    <w:div w:id="1456800212">
      <w:bodyDiv w:val="1"/>
      <w:marLeft w:val="0"/>
      <w:marRight w:val="0"/>
      <w:marTop w:val="0"/>
      <w:marBottom w:val="0"/>
      <w:divBdr>
        <w:top w:val="none" w:sz="0" w:space="0" w:color="auto"/>
        <w:left w:val="none" w:sz="0" w:space="0" w:color="auto"/>
        <w:bottom w:val="none" w:sz="0" w:space="0" w:color="auto"/>
        <w:right w:val="none" w:sz="0" w:space="0" w:color="auto"/>
      </w:divBdr>
    </w:div>
    <w:div w:id="1474564925">
      <w:bodyDiv w:val="1"/>
      <w:marLeft w:val="0"/>
      <w:marRight w:val="0"/>
      <w:marTop w:val="0"/>
      <w:marBottom w:val="0"/>
      <w:divBdr>
        <w:top w:val="none" w:sz="0" w:space="0" w:color="auto"/>
        <w:left w:val="none" w:sz="0" w:space="0" w:color="auto"/>
        <w:bottom w:val="none" w:sz="0" w:space="0" w:color="auto"/>
        <w:right w:val="none" w:sz="0" w:space="0" w:color="auto"/>
      </w:divBdr>
    </w:div>
    <w:div w:id="1485050603">
      <w:bodyDiv w:val="1"/>
      <w:marLeft w:val="0"/>
      <w:marRight w:val="0"/>
      <w:marTop w:val="0"/>
      <w:marBottom w:val="0"/>
      <w:divBdr>
        <w:top w:val="none" w:sz="0" w:space="0" w:color="auto"/>
        <w:left w:val="none" w:sz="0" w:space="0" w:color="auto"/>
        <w:bottom w:val="none" w:sz="0" w:space="0" w:color="auto"/>
        <w:right w:val="none" w:sz="0" w:space="0" w:color="auto"/>
      </w:divBdr>
    </w:div>
    <w:div w:id="1490245430">
      <w:bodyDiv w:val="1"/>
      <w:marLeft w:val="0"/>
      <w:marRight w:val="0"/>
      <w:marTop w:val="0"/>
      <w:marBottom w:val="0"/>
      <w:divBdr>
        <w:top w:val="none" w:sz="0" w:space="0" w:color="auto"/>
        <w:left w:val="none" w:sz="0" w:space="0" w:color="auto"/>
        <w:bottom w:val="none" w:sz="0" w:space="0" w:color="auto"/>
        <w:right w:val="none" w:sz="0" w:space="0" w:color="auto"/>
      </w:divBdr>
    </w:div>
    <w:div w:id="1492255259">
      <w:bodyDiv w:val="1"/>
      <w:marLeft w:val="0"/>
      <w:marRight w:val="0"/>
      <w:marTop w:val="0"/>
      <w:marBottom w:val="0"/>
      <w:divBdr>
        <w:top w:val="none" w:sz="0" w:space="0" w:color="auto"/>
        <w:left w:val="none" w:sz="0" w:space="0" w:color="auto"/>
        <w:bottom w:val="none" w:sz="0" w:space="0" w:color="auto"/>
        <w:right w:val="none" w:sz="0" w:space="0" w:color="auto"/>
      </w:divBdr>
    </w:div>
    <w:div w:id="1499492187">
      <w:bodyDiv w:val="1"/>
      <w:marLeft w:val="0"/>
      <w:marRight w:val="0"/>
      <w:marTop w:val="0"/>
      <w:marBottom w:val="0"/>
      <w:divBdr>
        <w:top w:val="none" w:sz="0" w:space="0" w:color="auto"/>
        <w:left w:val="none" w:sz="0" w:space="0" w:color="auto"/>
        <w:bottom w:val="none" w:sz="0" w:space="0" w:color="auto"/>
        <w:right w:val="none" w:sz="0" w:space="0" w:color="auto"/>
      </w:divBdr>
    </w:div>
    <w:div w:id="1505363570">
      <w:bodyDiv w:val="1"/>
      <w:marLeft w:val="0"/>
      <w:marRight w:val="0"/>
      <w:marTop w:val="0"/>
      <w:marBottom w:val="0"/>
      <w:divBdr>
        <w:top w:val="none" w:sz="0" w:space="0" w:color="auto"/>
        <w:left w:val="none" w:sz="0" w:space="0" w:color="auto"/>
        <w:bottom w:val="none" w:sz="0" w:space="0" w:color="auto"/>
        <w:right w:val="none" w:sz="0" w:space="0" w:color="auto"/>
      </w:divBdr>
    </w:div>
    <w:div w:id="1510103017">
      <w:bodyDiv w:val="1"/>
      <w:marLeft w:val="0"/>
      <w:marRight w:val="0"/>
      <w:marTop w:val="0"/>
      <w:marBottom w:val="0"/>
      <w:divBdr>
        <w:top w:val="none" w:sz="0" w:space="0" w:color="auto"/>
        <w:left w:val="none" w:sz="0" w:space="0" w:color="auto"/>
        <w:bottom w:val="none" w:sz="0" w:space="0" w:color="auto"/>
        <w:right w:val="none" w:sz="0" w:space="0" w:color="auto"/>
      </w:divBdr>
    </w:div>
    <w:div w:id="1512140797">
      <w:bodyDiv w:val="1"/>
      <w:marLeft w:val="0"/>
      <w:marRight w:val="0"/>
      <w:marTop w:val="0"/>
      <w:marBottom w:val="0"/>
      <w:divBdr>
        <w:top w:val="none" w:sz="0" w:space="0" w:color="auto"/>
        <w:left w:val="none" w:sz="0" w:space="0" w:color="auto"/>
        <w:bottom w:val="none" w:sz="0" w:space="0" w:color="auto"/>
        <w:right w:val="none" w:sz="0" w:space="0" w:color="auto"/>
      </w:divBdr>
    </w:div>
    <w:div w:id="1518234610">
      <w:bodyDiv w:val="1"/>
      <w:marLeft w:val="0"/>
      <w:marRight w:val="0"/>
      <w:marTop w:val="0"/>
      <w:marBottom w:val="0"/>
      <w:divBdr>
        <w:top w:val="none" w:sz="0" w:space="0" w:color="auto"/>
        <w:left w:val="none" w:sz="0" w:space="0" w:color="auto"/>
        <w:bottom w:val="none" w:sz="0" w:space="0" w:color="auto"/>
        <w:right w:val="none" w:sz="0" w:space="0" w:color="auto"/>
      </w:divBdr>
    </w:div>
    <w:div w:id="1519080608">
      <w:bodyDiv w:val="1"/>
      <w:marLeft w:val="0"/>
      <w:marRight w:val="0"/>
      <w:marTop w:val="0"/>
      <w:marBottom w:val="0"/>
      <w:divBdr>
        <w:top w:val="none" w:sz="0" w:space="0" w:color="auto"/>
        <w:left w:val="none" w:sz="0" w:space="0" w:color="auto"/>
        <w:bottom w:val="none" w:sz="0" w:space="0" w:color="auto"/>
        <w:right w:val="none" w:sz="0" w:space="0" w:color="auto"/>
      </w:divBdr>
    </w:div>
    <w:div w:id="1530147634">
      <w:bodyDiv w:val="1"/>
      <w:marLeft w:val="0"/>
      <w:marRight w:val="0"/>
      <w:marTop w:val="0"/>
      <w:marBottom w:val="0"/>
      <w:divBdr>
        <w:top w:val="none" w:sz="0" w:space="0" w:color="auto"/>
        <w:left w:val="none" w:sz="0" w:space="0" w:color="auto"/>
        <w:bottom w:val="none" w:sz="0" w:space="0" w:color="auto"/>
        <w:right w:val="none" w:sz="0" w:space="0" w:color="auto"/>
      </w:divBdr>
    </w:div>
    <w:div w:id="1532649885">
      <w:bodyDiv w:val="1"/>
      <w:marLeft w:val="0"/>
      <w:marRight w:val="0"/>
      <w:marTop w:val="0"/>
      <w:marBottom w:val="0"/>
      <w:divBdr>
        <w:top w:val="none" w:sz="0" w:space="0" w:color="auto"/>
        <w:left w:val="none" w:sz="0" w:space="0" w:color="auto"/>
        <w:bottom w:val="none" w:sz="0" w:space="0" w:color="auto"/>
        <w:right w:val="none" w:sz="0" w:space="0" w:color="auto"/>
      </w:divBdr>
    </w:div>
    <w:div w:id="1533611422">
      <w:bodyDiv w:val="1"/>
      <w:marLeft w:val="0"/>
      <w:marRight w:val="0"/>
      <w:marTop w:val="0"/>
      <w:marBottom w:val="0"/>
      <w:divBdr>
        <w:top w:val="none" w:sz="0" w:space="0" w:color="auto"/>
        <w:left w:val="none" w:sz="0" w:space="0" w:color="auto"/>
        <w:bottom w:val="none" w:sz="0" w:space="0" w:color="auto"/>
        <w:right w:val="none" w:sz="0" w:space="0" w:color="auto"/>
      </w:divBdr>
    </w:div>
    <w:div w:id="1542093090">
      <w:bodyDiv w:val="1"/>
      <w:marLeft w:val="0"/>
      <w:marRight w:val="0"/>
      <w:marTop w:val="0"/>
      <w:marBottom w:val="0"/>
      <w:divBdr>
        <w:top w:val="none" w:sz="0" w:space="0" w:color="auto"/>
        <w:left w:val="none" w:sz="0" w:space="0" w:color="auto"/>
        <w:bottom w:val="none" w:sz="0" w:space="0" w:color="auto"/>
        <w:right w:val="none" w:sz="0" w:space="0" w:color="auto"/>
      </w:divBdr>
    </w:div>
    <w:div w:id="1542743179">
      <w:bodyDiv w:val="1"/>
      <w:marLeft w:val="0"/>
      <w:marRight w:val="0"/>
      <w:marTop w:val="0"/>
      <w:marBottom w:val="0"/>
      <w:divBdr>
        <w:top w:val="none" w:sz="0" w:space="0" w:color="auto"/>
        <w:left w:val="none" w:sz="0" w:space="0" w:color="auto"/>
        <w:bottom w:val="none" w:sz="0" w:space="0" w:color="auto"/>
        <w:right w:val="none" w:sz="0" w:space="0" w:color="auto"/>
      </w:divBdr>
    </w:div>
    <w:div w:id="1543057352">
      <w:bodyDiv w:val="1"/>
      <w:marLeft w:val="0"/>
      <w:marRight w:val="0"/>
      <w:marTop w:val="0"/>
      <w:marBottom w:val="0"/>
      <w:divBdr>
        <w:top w:val="none" w:sz="0" w:space="0" w:color="auto"/>
        <w:left w:val="none" w:sz="0" w:space="0" w:color="auto"/>
        <w:bottom w:val="none" w:sz="0" w:space="0" w:color="auto"/>
        <w:right w:val="none" w:sz="0" w:space="0" w:color="auto"/>
      </w:divBdr>
    </w:div>
    <w:div w:id="1548570439">
      <w:bodyDiv w:val="1"/>
      <w:marLeft w:val="0"/>
      <w:marRight w:val="0"/>
      <w:marTop w:val="0"/>
      <w:marBottom w:val="0"/>
      <w:divBdr>
        <w:top w:val="none" w:sz="0" w:space="0" w:color="auto"/>
        <w:left w:val="none" w:sz="0" w:space="0" w:color="auto"/>
        <w:bottom w:val="none" w:sz="0" w:space="0" w:color="auto"/>
        <w:right w:val="none" w:sz="0" w:space="0" w:color="auto"/>
      </w:divBdr>
    </w:div>
    <w:div w:id="1552229298">
      <w:bodyDiv w:val="1"/>
      <w:marLeft w:val="0"/>
      <w:marRight w:val="0"/>
      <w:marTop w:val="0"/>
      <w:marBottom w:val="0"/>
      <w:divBdr>
        <w:top w:val="none" w:sz="0" w:space="0" w:color="auto"/>
        <w:left w:val="none" w:sz="0" w:space="0" w:color="auto"/>
        <w:bottom w:val="none" w:sz="0" w:space="0" w:color="auto"/>
        <w:right w:val="none" w:sz="0" w:space="0" w:color="auto"/>
      </w:divBdr>
    </w:div>
    <w:div w:id="1559432984">
      <w:bodyDiv w:val="1"/>
      <w:marLeft w:val="0"/>
      <w:marRight w:val="0"/>
      <w:marTop w:val="0"/>
      <w:marBottom w:val="0"/>
      <w:divBdr>
        <w:top w:val="none" w:sz="0" w:space="0" w:color="auto"/>
        <w:left w:val="none" w:sz="0" w:space="0" w:color="auto"/>
        <w:bottom w:val="none" w:sz="0" w:space="0" w:color="auto"/>
        <w:right w:val="none" w:sz="0" w:space="0" w:color="auto"/>
      </w:divBdr>
    </w:div>
    <w:div w:id="1562868414">
      <w:bodyDiv w:val="1"/>
      <w:marLeft w:val="0"/>
      <w:marRight w:val="0"/>
      <w:marTop w:val="0"/>
      <w:marBottom w:val="0"/>
      <w:divBdr>
        <w:top w:val="none" w:sz="0" w:space="0" w:color="auto"/>
        <w:left w:val="none" w:sz="0" w:space="0" w:color="auto"/>
        <w:bottom w:val="none" w:sz="0" w:space="0" w:color="auto"/>
        <w:right w:val="none" w:sz="0" w:space="0" w:color="auto"/>
      </w:divBdr>
    </w:div>
    <w:div w:id="1564943513">
      <w:bodyDiv w:val="1"/>
      <w:marLeft w:val="0"/>
      <w:marRight w:val="0"/>
      <w:marTop w:val="0"/>
      <w:marBottom w:val="0"/>
      <w:divBdr>
        <w:top w:val="none" w:sz="0" w:space="0" w:color="auto"/>
        <w:left w:val="none" w:sz="0" w:space="0" w:color="auto"/>
        <w:bottom w:val="none" w:sz="0" w:space="0" w:color="auto"/>
        <w:right w:val="none" w:sz="0" w:space="0" w:color="auto"/>
      </w:divBdr>
    </w:div>
    <w:div w:id="1580552442">
      <w:bodyDiv w:val="1"/>
      <w:marLeft w:val="0"/>
      <w:marRight w:val="0"/>
      <w:marTop w:val="0"/>
      <w:marBottom w:val="0"/>
      <w:divBdr>
        <w:top w:val="none" w:sz="0" w:space="0" w:color="auto"/>
        <w:left w:val="none" w:sz="0" w:space="0" w:color="auto"/>
        <w:bottom w:val="none" w:sz="0" w:space="0" w:color="auto"/>
        <w:right w:val="none" w:sz="0" w:space="0" w:color="auto"/>
      </w:divBdr>
    </w:div>
    <w:div w:id="1595941607">
      <w:bodyDiv w:val="1"/>
      <w:marLeft w:val="0"/>
      <w:marRight w:val="0"/>
      <w:marTop w:val="0"/>
      <w:marBottom w:val="0"/>
      <w:divBdr>
        <w:top w:val="none" w:sz="0" w:space="0" w:color="auto"/>
        <w:left w:val="none" w:sz="0" w:space="0" w:color="auto"/>
        <w:bottom w:val="none" w:sz="0" w:space="0" w:color="auto"/>
        <w:right w:val="none" w:sz="0" w:space="0" w:color="auto"/>
      </w:divBdr>
    </w:div>
    <w:div w:id="1603954724">
      <w:bodyDiv w:val="1"/>
      <w:marLeft w:val="0"/>
      <w:marRight w:val="0"/>
      <w:marTop w:val="0"/>
      <w:marBottom w:val="0"/>
      <w:divBdr>
        <w:top w:val="none" w:sz="0" w:space="0" w:color="auto"/>
        <w:left w:val="none" w:sz="0" w:space="0" w:color="auto"/>
        <w:bottom w:val="none" w:sz="0" w:space="0" w:color="auto"/>
        <w:right w:val="none" w:sz="0" w:space="0" w:color="auto"/>
      </w:divBdr>
    </w:div>
    <w:div w:id="1605335161">
      <w:bodyDiv w:val="1"/>
      <w:marLeft w:val="0"/>
      <w:marRight w:val="0"/>
      <w:marTop w:val="0"/>
      <w:marBottom w:val="0"/>
      <w:divBdr>
        <w:top w:val="none" w:sz="0" w:space="0" w:color="auto"/>
        <w:left w:val="none" w:sz="0" w:space="0" w:color="auto"/>
        <w:bottom w:val="none" w:sz="0" w:space="0" w:color="auto"/>
        <w:right w:val="none" w:sz="0" w:space="0" w:color="auto"/>
      </w:divBdr>
    </w:div>
    <w:div w:id="1622951339">
      <w:bodyDiv w:val="1"/>
      <w:marLeft w:val="0"/>
      <w:marRight w:val="0"/>
      <w:marTop w:val="0"/>
      <w:marBottom w:val="0"/>
      <w:divBdr>
        <w:top w:val="none" w:sz="0" w:space="0" w:color="auto"/>
        <w:left w:val="none" w:sz="0" w:space="0" w:color="auto"/>
        <w:bottom w:val="none" w:sz="0" w:space="0" w:color="auto"/>
        <w:right w:val="none" w:sz="0" w:space="0" w:color="auto"/>
      </w:divBdr>
    </w:div>
    <w:div w:id="1631012884">
      <w:bodyDiv w:val="1"/>
      <w:marLeft w:val="0"/>
      <w:marRight w:val="0"/>
      <w:marTop w:val="0"/>
      <w:marBottom w:val="0"/>
      <w:divBdr>
        <w:top w:val="none" w:sz="0" w:space="0" w:color="auto"/>
        <w:left w:val="none" w:sz="0" w:space="0" w:color="auto"/>
        <w:bottom w:val="none" w:sz="0" w:space="0" w:color="auto"/>
        <w:right w:val="none" w:sz="0" w:space="0" w:color="auto"/>
      </w:divBdr>
    </w:div>
    <w:div w:id="1632444177">
      <w:bodyDiv w:val="1"/>
      <w:marLeft w:val="0"/>
      <w:marRight w:val="0"/>
      <w:marTop w:val="0"/>
      <w:marBottom w:val="0"/>
      <w:divBdr>
        <w:top w:val="none" w:sz="0" w:space="0" w:color="auto"/>
        <w:left w:val="none" w:sz="0" w:space="0" w:color="auto"/>
        <w:bottom w:val="none" w:sz="0" w:space="0" w:color="auto"/>
        <w:right w:val="none" w:sz="0" w:space="0" w:color="auto"/>
      </w:divBdr>
    </w:div>
    <w:div w:id="1635330083">
      <w:bodyDiv w:val="1"/>
      <w:marLeft w:val="0"/>
      <w:marRight w:val="0"/>
      <w:marTop w:val="0"/>
      <w:marBottom w:val="0"/>
      <w:divBdr>
        <w:top w:val="none" w:sz="0" w:space="0" w:color="auto"/>
        <w:left w:val="none" w:sz="0" w:space="0" w:color="auto"/>
        <w:bottom w:val="none" w:sz="0" w:space="0" w:color="auto"/>
        <w:right w:val="none" w:sz="0" w:space="0" w:color="auto"/>
      </w:divBdr>
    </w:div>
    <w:div w:id="1645740954">
      <w:bodyDiv w:val="1"/>
      <w:marLeft w:val="0"/>
      <w:marRight w:val="0"/>
      <w:marTop w:val="0"/>
      <w:marBottom w:val="0"/>
      <w:divBdr>
        <w:top w:val="none" w:sz="0" w:space="0" w:color="auto"/>
        <w:left w:val="none" w:sz="0" w:space="0" w:color="auto"/>
        <w:bottom w:val="none" w:sz="0" w:space="0" w:color="auto"/>
        <w:right w:val="none" w:sz="0" w:space="0" w:color="auto"/>
      </w:divBdr>
    </w:div>
    <w:div w:id="1646006235">
      <w:bodyDiv w:val="1"/>
      <w:marLeft w:val="0"/>
      <w:marRight w:val="0"/>
      <w:marTop w:val="0"/>
      <w:marBottom w:val="0"/>
      <w:divBdr>
        <w:top w:val="none" w:sz="0" w:space="0" w:color="auto"/>
        <w:left w:val="none" w:sz="0" w:space="0" w:color="auto"/>
        <w:bottom w:val="none" w:sz="0" w:space="0" w:color="auto"/>
        <w:right w:val="none" w:sz="0" w:space="0" w:color="auto"/>
      </w:divBdr>
    </w:div>
    <w:div w:id="1648822267">
      <w:bodyDiv w:val="1"/>
      <w:marLeft w:val="0"/>
      <w:marRight w:val="0"/>
      <w:marTop w:val="0"/>
      <w:marBottom w:val="0"/>
      <w:divBdr>
        <w:top w:val="none" w:sz="0" w:space="0" w:color="auto"/>
        <w:left w:val="none" w:sz="0" w:space="0" w:color="auto"/>
        <w:bottom w:val="none" w:sz="0" w:space="0" w:color="auto"/>
        <w:right w:val="none" w:sz="0" w:space="0" w:color="auto"/>
      </w:divBdr>
    </w:div>
    <w:div w:id="1649434640">
      <w:bodyDiv w:val="1"/>
      <w:marLeft w:val="0"/>
      <w:marRight w:val="0"/>
      <w:marTop w:val="0"/>
      <w:marBottom w:val="0"/>
      <w:divBdr>
        <w:top w:val="none" w:sz="0" w:space="0" w:color="auto"/>
        <w:left w:val="none" w:sz="0" w:space="0" w:color="auto"/>
        <w:bottom w:val="none" w:sz="0" w:space="0" w:color="auto"/>
        <w:right w:val="none" w:sz="0" w:space="0" w:color="auto"/>
      </w:divBdr>
      <w:divsChild>
        <w:div w:id="83839167">
          <w:marLeft w:val="0"/>
          <w:marRight w:val="0"/>
          <w:marTop w:val="0"/>
          <w:marBottom w:val="0"/>
          <w:divBdr>
            <w:top w:val="none" w:sz="0" w:space="0" w:color="auto"/>
            <w:left w:val="none" w:sz="0" w:space="0" w:color="auto"/>
            <w:bottom w:val="none" w:sz="0" w:space="0" w:color="auto"/>
            <w:right w:val="none" w:sz="0" w:space="0" w:color="auto"/>
          </w:divBdr>
        </w:div>
        <w:div w:id="321080701">
          <w:marLeft w:val="0"/>
          <w:marRight w:val="0"/>
          <w:marTop w:val="0"/>
          <w:marBottom w:val="0"/>
          <w:divBdr>
            <w:top w:val="none" w:sz="0" w:space="0" w:color="auto"/>
            <w:left w:val="none" w:sz="0" w:space="0" w:color="auto"/>
            <w:bottom w:val="none" w:sz="0" w:space="0" w:color="auto"/>
            <w:right w:val="none" w:sz="0" w:space="0" w:color="auto"/>
          </w:divBdr>
        </w:div>
        <w:div w:id="1800567020">
          <w:marLeft w:val="0"/>
          <w:marRight w:val="0"/>
          <w:marTop w:val="0"/>
          <w:marBottom w:val="0"/>
          <w:divBdr>
            <w:top w:val="none" w:sz="0" w:space="0" w:color="auto"/>
            <w:left w:val="none" w:sz="0" w:space="0" w:color="auto"/>
            <w:bottom w:val="none" w:sz="0" w:space="0" w:color="auto"/>
            <w:right w:val="none" w:sz="0" w:space="0" w:color="auto"/>
          </w:divBdr>
        </w:div>
      </w:divsChild>
    </w:div>
    <w:div w:id="1652252672">
      <w:bodyDiv w:val="1"/>
      <w:marLeft w:val="0"/>
      <w:marRight w:val="0"/>
      <w:marTop w:val="0"/>
      <w:marBottom w:val="0"/>
      <w:divBdr>
        <w:top w:val="none" w:sz="0" w:space="0" w:color="auto"/>
        <w:left w:val="none" w:sz="0" w:space="0" w:color="auto"/>
        <w:bottom w:val="none" w:sz="0" w:space="0" w:color="auto"/>
        <w:right w:val="none" w:sz="0" w:space="0" w:color="auto"/>
      </w:divBdr>
    </w:div>
    <w:div w:id="1652903380">
      <w:bodyDiv w:val="1"/>
      <w:marLeft w:val="0"/>
      <w:marRight w:val="0"/>
      <w:marTop w:val="0"/>
      <w:marBottom w:val="0"/>
      <w:divBdr>
        <w:top w:val="none" w:sz="0" w:space="0" w:color="auto"/>
        <w:left w:val="none" w:sz="0" w:space="0" w:color="auto"/>
        <w:bottom w:val="none" w:sz="0" w:space="0" w:color="auto"/>
        <w:right w:val="none" w:sz="0" w:space="0" w:color="auto"/>
      </w:divBdr>
    </w:div>
    <w:div w:id="1665159581">
      <w:bodyDiv w:val="1"/>
      <w:marLeft w:val="0"/>
      <w:marRight w:val="0"/>
      <w:marTop w:val="0"/>
      <w:marBottom w:val="0"/>
      <w:divBdr>
        <w:top w:val="none" w:sz="0" w:space="0" w:color="auto"/>
        <w:left w:val="none" w:sz="0" w:space="0" w:color="auto"/>
        <w:bottom w:val="none" w:sz="0" w:space="0" w:color="auto"/>
        <w:right w:val="none" w:sz="0" w:space="0" w:color="auto"/>
      </w:divBdr>
    </w:div>
    <w:div w:id="1669946098">
      <w:bodyDiv w:val="1"/>
      <w:marLeft w:val="0"/>
      <w:marRight w:val="0"/>
      <w:marTop w:val="0"/>
      <w:marBottom w:val="0"/>
      <w:divBdr>
        <w:top w:val="none" w:sz="0" w:space="0" w:color="auto"/>
        <w:left w:val="none" w:sz="0" w:space="0" w:color="auto"/>
        <w:bottom w:val="none" w:sz="0" w:space="0" w:color="auto"/>
        <w:right w:val="none" w:sz="0" w:space="0" w:color="auto"/>
      </w:divBdr>
    </w:div>
    <w:div w:id="1674066734">
      <w:bodyDiv w:val="1"/>
      <w:marLeft w:val="0"/>
      <w:marRight w:val="0"/>
      <w:marTop w:val="0"/>
      <w:marBottom w:val="0"/>
      <w:divBdr>
        <w:top w:val="none" w:sz="0" w:space="0" w:color="auto"/>
        <w:left w:val="none" w:sz="0" w:space="0" w:color="auto"/>
        <w:bottom w:val="none" w:sz="0" w:space="0" w:color="auto"/>
        <w:right w:val="none" w:sz="0" w:space="0" w:color="auto"/>
      </w:divBdr>
    </w:div>
    <w:div w:id="1680959153">
      <w:bodyDiv w:val="1"/>
      <w:marLeft w:val="0"/>
      <w:marRight w:val="0"/>
      <w:marTop w:val="0"/>
      <w:marBottom w:val="0"/>
      <w:divBdr>
        <w:top w:val="none" w:sz="0" w:space="0" w:color="auto"/>
        <w:left w:val="none" w:sz="0" w:space="0" w:color="auto"/>
        <w:bottom w:val="none" w:sz="0" w:space="0" w:color="auto"/>
        <w:right w:val="none" w:sz="0" w:space="0" w:color="auto"/>
      </w:divBdr>
    </w:div>
    <w:div w:id="1683312820">
      <w:bodyDiv w:val="1"/>
      <w:marLeft w:val="0"/>
      <w:marRight w:val="0"/>
      <w:marTop w:val="0"/>
      <w:marBottom w:val="0"/>
      <w:divBdr>
        <w:top w:val="none" w:sz="0" w:space="0" w:color="auto"/>
        <w:left w:val="none" w:sz="0" w:space="0" w:color="auto"/>
        <w:bottom w:val="none" w:sz="0" w:space="0" w:color="auto"/>
        <w:right w:val="none" w:sz="0" w:space="0" w:color="auto"/>
      </w:divBdr>
    </w:div>
    <w:div w:id="1689792659">
      <w:bodyDiv w:val="1"/>
      <w:marLeft w:val="0"/>
      <w:marRight w:val="0"/>
      <w:marTop w:val="0"/>
      <w:marBottom w:val="0"/>
      <w:divBdr>
        <w:top w:val="none" w:sz="0" w:space="0" w:color="auto"/>
        <w:left w:val="none" w:sz="0" w:space="0" w:color="auto"/>
        <w:bottom w:val="none" w:sz="0" w:space="0" w:color="auto"/>
        <w:right w:val="none" w:sz="0" w:space="0" w:color="auto"/>
      </w:divBdr>
    </w:div>
    <w:div w:id="1695039486">
      <w:bodyDiv w:val="1"/>
      <w:marLeft w:val="0"/>
      <w:marRight w:val="0"/>
      <w:marTop w:val="0"/>
      <w:marBottom w:val="0"/>
      <w:divBdr>
        <w:top w:val="none" w:sz="0" w:space="0" w:color="auto"/>
        <w:left w:val="none" w:sz="0" w:space="0" w:color="auto"/>
        <w:bottom w:val="none" w:sz="0" w:space="0" w:color="auto"/>
        <w:right w:val="none" w:sz="0" w:space="0" w:color="auto"/>
      </w:divBdr>
    </w:div>
    <w:div w:id="1703363925">
      <w:bodyDiv w:val="1"/>
      <w:marLeft w:val="0"/>
      <w:marRight w:val="0"/>
      <w:marTop w:val="0"/>
      <w:marBottom w:val="0"/>
      <w:divBdr>
        <w:top w:val="none" w:sz="0" w:space="0" w:color="auto"/>
        <w:left w:val="none" w:sz="0" w:space="0" w:color="auto"/>
        <w:bottom w:val="none" w:sz="0" w:space="0" w:color="auto"/>
        <w:right w:val="none" w:sz="0" w:space="0" w:color="auto"/>
      </w:divBdr>
    </w:div>
    <w:div w:id="1703628176">
      <w:bodyDiv w:val="1"/>
      <w:marLeft w:val="0"/>
      <w:marRight w:val="0"/>
      <w:marTop w:val="0"/>
      <w:marBottom w:val="0"/>
      <w:divBdr>
        <w:top w:val="none" w:sz="0" w:space="0" w:color="auto"/>
        <w:left w:val="none" w:sz="0" w:space="0" w:color="auto"/>
        <w:bottom w:val="none" w:sz="0" w:space="0" w:color="auto"/>
        <w:right w:val="none" w:sz="0" w:space="0" w:color="auto"/>
      </w:divBdr>
    </w:div>
    <w:div w:id="1705523362">
      <w:bodyDiv w:val="1"/>
      <w:marLeft w:val="0"/>
      <w:marRight w:val="0"/>
      <w:marTop w:val="0"/>
      <w:marBottom w:val="0"/>
      <w:divBdr>
        <w:top w:val="none" w:sz="0" w:space="0" w:color="auto"/>
        <w:left w:val="none" w:sz="0" w:space="0" w:color="auto"/>
        <w:bottom w:val="none" w:sz="0" w:space="0" w:color="auto"/>
        <w:right w:val="none" w:sz="0" w:space="0" w:color="auto"/>
      </w:divBdr>
    </w:div>
    <w:div w:id="1712680615">
      <w:bodyDiv w:val="1"/>
      <w:marLeft w:val="0"/>
      <w:marRight w:val="0"/>
      <w:marTop w:val="0"/>
      <w:marBottom w:val="0"/>
      <w:divBdr>
        <w:top w:val="none" w:sz="0" w:space="0" w:color="auto"/>
        <w:left w:val="none" w:sz="0" w:space="0" w:color="auto"/>
        <w:bottom w:val="none" w:sz="0" w:space="0" w:color="auto"/>
        <w:right w:val="none" w:sz="0" w:space="0" w:color="auto"/>
      </w:divBdr>
    </w:div>
    <w:div w:id="1714578494">
      <w:bodyDiv w:val="1"/>
      <w:marLeft w:val="0"/>
      <w:marRight w:val="0"/>
      <w:marTop w:val="0"/>
      <w:marBottom w:val="0"/>
      <w:divBdr>
        <w:top w:val="none" w:sz="0" w:space="0" w:color="auto"/>
        <w:left w:val="none" w:sz="0" w:space="0" w:color="auto"/>
        <w:bottom w:val="none" w:sz="0" w:space="0" w:color="auto"/>
        <w:right w:val="none" w:sz="0" w:space="0" w:color="auto"/>
      </w:divBdr>
    </w:div>
    <w:div w:id="1719669433">
      <w:bodyDiv w:val="1"/>
      <w:marLeft w:val="0"/>
      <w:marRight w:val="0"/>
      <w:marTop w:val="0"/>
      <w:marBottom w:val="0"/>
      <w:divBdr>
        <w:top w:val="none" w:sz="0" w:space="0" w:color="auto"/>
        <w:left w:val="none" w:sz="0" w:space="0" w:color="auto"/>
        <w:bottom w:val="none" w:sz="0" w:space="0" w:color="auto"/>
        <w:right w:val="none" w:sz="0" w:space="0" w:color="auto"/>
      </w:divBdr>
    </w:div>
    <w:div w:id="1734353742">
      <w:bodyDiv w:val="1"/>
      <w:marLeft w:val="0"/>
      <w:marRight w:val="0"/>
      <w:marTop w:val="0"/>
      <w:marBottom w:val="0"/>
      <w:divBdr>
        <w:top w:val="none" w:sz="0" w:space="0" w:color="auto"/>
        <w:left w:val="none" w:sz="0" w:space="0" w:color="auto"/>
        <w:bottom w:val="none" w:sz="0" w:space="0" w:color="auto"/>
        <w:right w:val="none" w:sz="0" w:space="0" w:color="auto"/>
      </w:divBdr>
    </w:div>
    <w:div w:id="1738744930">
      <w:bodyDiv w:val="1"/>
      <w:marLeft w:val="0"/>
      <w:marRight w:val="0"/>
      <w:marTop w:val="0"/>
      <w:marBottom w:val="0"/>
      <w:divBdr>
        <w:top w:val="none" w:sz="0" w:space="0" w:color="auto"/>
        <w:left w:val="none" w:sz="0" w:space="0" w:color="auto"/>
        <w:bottom w:val="none" w:sz="0" w:space="0" w:color="auto"/>
        <w:right w:val="none" w:sz="0" w:space="0" w:color="auto"/>
      </w:divBdr>
    </w:div>
    <w:div w:id="1750228335">
      <w:bodyDiv w:val="1"/>
      <w:marLeft w:val="0"/>
      <w:marRight w:val="0"/>
      <w:marTop w:val="0"/>
      <w:marBottom w:val="0"/>
      <w:divBdr>
        <w:top w:val="none" w:sz="0" w:space="0" w:color="auto"/>
        <w:left w:val="none" w:sz="0" w:space="0" w:color="auto"/>
        <w:bottom w:val="none" w:sz="0" w:space="0" w:color="auto"/>
        <w:right w:val="none" w:sz="0" w:space="0" w:color="auto"/>
      </w:divBdr>
    </w:div>
    <w:div w:id="1750734848">
      <w:bodyDiv w:val="1"/>
      <w:marLeft w:val="0"/>
      <w:marRight w:val="0"/>
      <w:marTop w:val="0"/>
      <w:marBottom w:val="0"/>
      <w:divBdr>
        <w:top w:val="none" w:sz="0" w:space="0" w:color="auto"/>
        <w:left w:val="none" w:sz="0" w:space="0" w:color="auto"/>
        <w:bottom w:val="none" w:sz="0" w:space="0" w:color="auto"/>
        <w:right w:val="none" w:sz="0" w:space="0" w:color="auto"/>
      </w:divBdr>
    </w:div>
    <w:div w:id="1751846386">
      <w:bodyDiv w:val="1"/>
      <w:marLeft w:val="0"/>
      <w:marRight w:val="0"/>
      <w:marTop w:val="0"/>
      <w:marBottom w:val="0"/>
      <w:divBdr>
        <w:top w:val="none" w:sz="0" w:space="0" w:color="auto"/>
        <w:left w:val="none" w:sz="0" w:space="0" w:color="auto"/>
        <w:bottom w:val="none" w:sz="0" w:space="0" w:color="auto"/>
        <w:right w:val="none" w:sz="0" w:space="0" w:color="auto"/>
      </w:divBdr>
    </w:div>
    <w:div w:id="1752502832">
      <w:bodyDiv w:val="1"/>
      <w:marLeft w:val="0"/>
      <w:marRight w:val="0"/>
      <w:marTop w:val="0"/>
      <w:marBottom w:val="0"/>
      <w:divBdr>
        <w:top w:val="none" w:sz="0" w:space="0" w:color="auto"/>
        <w:left w:val="none" w:sz="0" w:space="0" w:color="auto"/>
        <w:bottom w:val="none" w:sz="0" w:space="0" w:color="auto"/>
        <w:right w:val="none" w:sz="0" w:space="0" w:color="auto"/>
      </w:divBdr>
    </w:div>
    <w:div w:id="1758359423">
      <w:bodyDiv w:val="1"/>
      <w:marLeft w:val="0"/>
      <w:marRight w:val="0"/>
      <w:marTop w:val="0"/>
      <w:marBottom w:val="0"/>
      <w:divBdr>
        <w:top w:val="none" w:sz="0" w:space="0" w:color="auto"/>
        <w:left w:val="none" w:sz="0" w:space="0" w:color="auto"/>
        <w:bottom w:val="none" w:sz="0" w:space="0" w:color="auto"/>
        <w:right w:val="none" w:sz="0" w:space="0" w:color="auto"/>
      </w:divBdr>
    </w:div>
    <w:div w:id="1759055304">
      <w:bodyDiv w:val="1"/>
      <w:marLeft w:val="0"/>
      <w:marRight w:val="0"/>
      <w:marTop w:val="0"/>
      <w:marBottom w:val="0"/>
      <w:divBdr>
        <w:top w:val="none" w:sz="0" w:space="0" w:color="auto"/>
        <w:left w:val="none" w:sz="0" w:space="0" w:color="auto"/>
        <w:bottom w:val="none" w:sz="0" w:space="0" w:color="auto"/>
        <w:right w:val="none" w:sz="0" w:space="0" w:color="auto"/>
      </w:divBdr>
    </w:div>
    <w:div w:id="1769037244">
      <w:bodyDiv w:val="1"/>
      <w:marLeft w:val="0"/>
      <w:marRight w:val="0"/>
      <w:marTop w:val="0"/>
      <w:marBottom w:val="0"/>
      <w:divBdr>
        <w:top w:val="none" w:sz="0" w:space="0" w:color="auto"/>
        <w:left w:val="none" w:sz="0" w:space="0" w:color="auto"/>
        <w:bottom w:val="none" w:sz="0" w:space="0" w:color="auto"/>
        <w:right w:val="none" w:sz="0" w:space="0" w:color="auto"/>
      </w:divBdr>
    </w:div>
    <w:div w:id="1771272635">
      <w:bodyDiv w:val="1"/>
      <w:marLeft w:val="0"/>
      <w:marRight w:val="0"/>
      <w:marTop w:val="0"/>
      <w:marBottom w:val="0"/>
      <w:divBdr>
        <w:top w:val="none" w:sz="0" w:space="0" w:color="auto"/>
        <w:left w:val="none" w:sz="0" w:space="0" w:color="auto"/>
        <w:bottom w:val="none" w:sz="0" w:space="0" w:color="auto"/>
        <w:right w:val="none" w:sz="0" w:space="0" w:color="auto"/>
      </w:divBdr>
    </w:div>
    <w:div w:id="1772777652">
      <w:bodyDiv w:val="1"/>
      <w:marLeft w:val="0"/>
      <w:marRight w:val="0"/>
      <w:marTop w:val="0"/>
      <w:marBottom w:val="0"/>
      <w:divBdr>
        <w:top w:val="none" w:sz="0" w:space="0" w:color="auto"/>
        <w:left w:val="none" w:sz="0" w:space="0" w:color="auto"/>
        <w:bottom w:val="none" w:sz="0" w:space="0" w:color="auto"/>
        <w:right w:val="none" w:sz="0" w:space="0" w:color="auto"/>
      </w:divBdr>
    </w:div>
    <w:div w:id="1774008781">
      <w:bodyDiv w:val="1"/>
      <w:marLeft w:val="0"/>
      <w:marRight w:val="0"/>
      <w:marTop w:val="0"/>
      <w:marBottom w:val="0"/>
      <w:divBdr>
        <w:top w:val="none" w:sz="0" w:space="0" w:color="auto"/>
        <w:left w:val="none" w:sz="0" w:space="0" w:color="auto"/>
        <w:bottom w:val="none" w:sz="0" w:space="0" w:color="auto"/>
        <w:right w:val="none" w:sz="0" w:space="0" w:color="auto"/>
      </w:divBdr>
    </w:div>
    <w:div w:id="1775248427">
      <w:bodyDiv w:val="1"/>
      <w:marLeft w:val="0"/>
      <w:marRight w:val="0"/>
      <w:marTop w:val="0"/>
      <w:marBottom w:val="0"/>
      <w:divBdr>
        <w:top w:val="none" w:sz="0" w:space="0" w:color="auto"/>
        <w:left w:val="none" w:sz="0" w:space="0" w:color="auto"/>
        <w:bottom w:val="none" w:sz="0" w:space="0" w:color="auto"/>
        <w:right w:val="none" w:sz="0" w:space="0" w:color="auto"/>
      </w:divBdr>
    </w:div>
    <w:div w:id="1788305431">
      <w:bodyDiv w:val="1"/>
      <w:marLeft w:val="0"/>
      <w:marRight w:val="0"/>
      <w:marTop w:val="0"/>
      <w:marBottom w:val="0"/>
      <w:divBdr>
        <w:top w:val="none" w:sz="0" w:space="0" w:color="auto"/>
        <w:left w:val="none" w:sz="0" w:space="0" w:color="auto"/>
        <w:bottom w:val="none" w:sz="0" w:space="0" w:color="auto"/>
        <w:right w:val="none" w:sz="0" w:space="0" w:color="auto"/>
      </w:divBdr>
    </w:div>
    <w:div w:id="1789466806">
      <w:bodyDiv w:val="1"/>
      <w:marLeft w:val="0"/>
      <w:marRight w:val="0"/>
      <w:marTop w:val="0"/>
      <w:marBottom w:val="0"/>
      <w:divBdr>
        <w:top w:val="none" w:sz="0" w:space="0" w:color="auto"/>
        <w:left w:val="none" w:sz="0" w:space="0" w:color="auto"/>
        <w:bottom w:val="none" w:sz="0" w:space="0" w:color="auto"/>
        <w:right w:val="none" w:sz="0" w:space="0" w:color="auto"/>
      </w:divBdr>
    </w:div>
    <w:div w:id="1792017777">
      <w:bodyDiv w:val="1"/>
      <w:marLeft w:val="0"/>
      <w:marRight w:val="0"/>
      <w:marTop w:val="0"/>
      <w:marBottom w:val="0"/>
      <w:divBdr>
        <w:top w:val="none" w:sz="0" w:space="0" w:color="auto"/>
        <w:left w:val="none" w:sz="0" w:space="0" w:color="auto"/>
        <w:bottom w:val="none" w:sz="0" w:space="0" w:color="auto"/>
        <w:right w:val="none" w:sz="0" w:space="0" w:color="auto"/>
      </w:divBdr>
    </w:div>
    <w:div w:id="1803041418">
      <w:bodyDiv w:val="1"/>
      <w:marLeft w:val="0"/>
      <w:marRight w:val="0"/>
      <w:marTop w:val="0"/>
      <w:marBottom w:val="0"/>
      <w:divBdr>
        <w:top w:val="none" w:sz="0" w:space="0" w:color="auto"/>
        <w:left w:val="none" w:sz="0" w:space="0" w:color="auto"/>
        <w:bottom w:val="none" w:sz="0" w:space="0" w:color="auto"/>
        <w:right w:val="none" w:sz="0" w:space="0" w:color="auto"/>
      </w:divBdr>
    </w:div>
    <w:div w:id="1805080988">
      <w:bodyDiv w:val="1"/>
      <w:marLeft w:val="0"/>
      <w:marRight w:val="0"/>
      <w:marTop w:val="0"/>
      <w:marBottom w:val="0"/>
      <w:divBdr>
        <w:top w:val="none" w:sz="0" w:space="0" w:color="auto"/>
        <w:left w:val="none" w:sz="0" w:space="0" w:color="auto"/>
        <w:bottom w:val="none" w:sz="0" w:space="0" w:color="auto"/>
        <w:right w:val="none" w:sz="0" w:space="0" w:color="auto"/>
      </w:divBdr>
    </w:div>
    <w:div w:id="1824467867">
      <w:bodyDiv w:val="1"/>
      <w:marLeft w:val="0"/>
      <w:marRight w:val="0"/>
      <w:marTop w:val="0"/>
      <w:marBottom w:val="0"/>
      <w:divBdr>
        <w:top w:val="none" w:sz="0" w:space="0" w:color="auto"/>
        <w:left w:val="none" w:sz="0" w:space="0" w:color="auto"/>
        <w:bottom w:val="none" w:sz="0" w:space="0" w:color="auto"/>
        <w:right w:val="none" w:sz="0" w:space="0" w:color="auto"/>
      </w:divBdr>
    </w:div>
    <w:div w:id="1825855802">
      <w:bodyDiv w:val="1"/>
      <w:marLeft w:val="0"/>
      <w:marRight w:val="0"/>
      <w:marTop w:val="0"/>
      <w:marBottom w:val="0"/>
      <w:divBdr>
        <w:top w:val="none" w:sz="0" w:space="0" w:color="auto"/>
        <w:left w:val="none" w:sz="0" w:space="0" w:color="auto"/>
        <w:bottom w:val="none" w:sz="0" w:space="0" w:color="auto"/>
        <w:right w:val="none" w:sz="0" w:space="0" w:color="auto"/>
      </w:divBdr>
    </w:div>
    <w:div w:id="1827475409">
      <w:bodyDiv w:val="1"/>
      <w:marLeft w:val="0"/>
      <w:marRight w:val="0"/>
      <w:marTop w:val="0"/>
      <w:marBottom w:val="0"/>
      <w:divBdr>
        <w:top w:val="none" w:sz="0" w:space="0" w:color="auto"/>
        <w:left w:val="none" w:sz="0" w:space="0" w:color="auto"/>
        <w:bottom w:val="none" w:sz="0" w:space="0" w:color="auto"/>
        <w:right w:val="none" w:sz="0" w:space="0" w:color="auto"/>
      </w:divBdr>
    </w:div>
    <w:div w:id="1834560426">
      <w:bodyDiv w:val="1"/>
      <w:marLeft w:val="0"/>
      <w:marRight w:val="0"/>
      <w:marTop w:val="0"/>
      <w:marBottom w:val="0"/>
      <w:divBdr>
        <w:top w:val="none" w:sz="0" w:space="0" w:color="auto"/>
        <w:left w:val="none" w:sz="0" w:space="0" w:color="auto"/>
        <w:bottom w:val="none" w:sz="0" w:space="0" w:color="auto"/>
        <w:right w:val="none" w:sz="0" w:space="0" w:color="auto"/>
      </w:divBdr>
    </w:div>
    <w:div w:id="1841000562">
      <w:bodyDiv w:val="1"/>
      <w:marLeft w:val="0"/>
      <w:marRight w:val="0"/>
      <w:marTop w:val="0"/>
      <w:marBottom w:val="0"/>
      <w:divBdr>
        <w:top w:val="none" w:sz="0" w:space="0" w:color="auto"/>
        <w:left w:val="none" w:sz="0" w:space="0" w:color="auto"/>
        <w:bottom w:val="none" w:sz="0" w:space="0" w:color="auto"/>
        <w:right w:val="none" w:sz="0" w:space="0" w:color="auto"/>
      </w:divBdr>
    </w:div>
    <w:div w:id="1842161087">
      <w:bodyDiv w:val="1"/>
      <w:marLeft w:val="0"/>
      <w:marRight w:val="0"/>
      <w:marTop w:val="0"/>
      <w:marBottom w:val="0"/>
      <w:divBdr>
        <w:top w:val="none" w:sz="0" w:space="0" w:color="auto"/>
        <w:left w:val="none" w:sz="0" w:space="0" w:color="auto"/>
        <w:bottom w:val="none" w:sz="0" w:space="0" w:color="auto"/>
        <w:right w:val="none" w:sz="0" w:space="0" w:color="auto"/>
      </w:divBdr>
    </w:div>
    <w:div w:id="1847281841">
      <w:bodyDiv w:val="1"/>
      <w:marLeft w:val="0"/>
      <w:marRight w:val="0"/>
      <w:marTop w:val="0"/>
      <w:marBottom w:val="0"/>
      <w:divBdr>
        <w:top w:val="none" w:sz="0" w:space="0" w:color="auto"/>
        <w:left w:val="none" w:sz="0" w:space="0" w:color="auto"/>
        <w:bottom w:val="none" w:sz="0" w:space="0" w:color="auto"/>
        <w:right w:val="none" w:sz="0" w:space="0" w:color="auto"/>
      </w:divBdr>
    </w:div>
    <w:div w:id="1851406953">
      <w:bodyDiv w:val="1"/>
      <w:marLeft w:val="0"/>
      <w:marRight w:val="0"/>
      <w:marTop w:val="0"/>
      <w:marBottom w:val="0"/>
      <w:divBdr>
        <w:top w:val="none" w:sz="0" w:space="0" w:color="auto"/>
        <w:left w:val="none" w:sz="0" w:space="0" w:color="auto"/>
        <w:bottom w:val="none" w:sz="0" w:space="0" w:color="auto"/>
        <w:right w:val="none" w:sz="0" w:space="0" w:color="auto"/>
      </w:divBdr>
    </w:div>
    <w:div w:id="1852911982">
      <w:bodyDiv w:val="1"/>
      <w:marLeft w:val="0"/>
      <w:marRight w:val="0"/>
      <w:marTop w:val="0"/>
      <w:marBottom w:val="0"/>
      <w:divBdr>
        <w:top w:val="none" w:sz="0" w:space="0" w:color="auto"/>
        <w:left w:val="none" w:sz="0" w:space="0" w:color="auto"/>
        <w:bottom w:val="none" w:sz="0" w:space="0" w:color="auto"/>
        <w:right w:val="none" w:sz="0" w:space="0" w:color="auto"/>
      </w:divBdr>
    </w:div>
    <w:div w:id="1862863126">
      <w:bodyDiv w:val="1"/>
      <w:marLeft w:val="0"/>
      <w:marRight w:val="0"/>
      <w:marTop w:val="0"/>
      <w:marBottom w:val="0"/>
      <w:divBdr>
        <w:top w:val="none" w:sz="0" w:space="0" w:color="auto"/>
        <w:left w:val="none" w:sz="0" w:space="0" w:color="auto"/>
        <w:bottom w:val="none" w:sz="0" w:space="0" w:color="auto"/>
        <w:right w:val="none" w:sz="0" w:space="0" w:color="auto"/>
      </w:divBdr>
    </w:div>
    <w:div w:id="1874994865">
      <w:bodyDiv w:val="1"/>
      <w:marLeft w:val="0"/>
      <w:marRight w:val="0"/>
      <w:marTop w:val="0"/>
      <w:marBottom w:val="0"/>
      <w:divBdr>
        <w:top w:val="none" w:sz="0" w:space="0" w:color="auto"/>
        <w:left w:val="none" w:sz="0" w:space="0" w:color="auto"/>
        <w:bottom w:val="none" w:sz="0" w:space="0" w:color="auto"/>
        <w:right w:val="none" w:sz="0" w:space="0" w:color="auto"/>
      </w:divBdr>
    </w:div>
    <w:div w:id="1879731609">
      <w:bodyDiv w:val="1"/>
      <w:marLeft w:val="0"/>
      <w:marRight w:val="0"/>
      <w:marTop w:val="0"/>
      <w:marBottom w:val="0"/>
      <w:divBdr>
        <w:top w:val="none" w:sz="0" w:space="0" w:color="auto"/>
        <w:left w:val="none" w:sz="0" w:space="0" w:color="auto"/>
        <w:bottom w:val="none" w:sz="0" w:space="0" w:color="auto"/>
        <w:right w:val="none" w:sz="0" w:space="0" w:color="auto"/>
      </w:divBdr>
    </w:div>
    <w:div w:id="1888181981">
      <w:bodyDiv w:val="1"/>
      <w:marLeft w:val="0"/>
      <w:marRight w:val="0"/>
      <w:marTop w:val="0"/>
      <w:marBottom w:val="0"/>
      <w:divBdr>
        <w:top w:val="none" w:sz="0" w:space="0" w:color="auto"/>
        <w:left w:val="none" w:sz="0" w:space="0" w:color="auto"/>
        <w:bottom w:val="none" w:sz="0" w:space="0" w:color="auto"/>
        <w:right w:val="none" w:sz="0" w:space="0" w:color="auto"/>
      </w:divBdr>
    </w:div>
    <w:div w:id="1889219273">
      <w:bodyDiv w:val="1"/>
      <w:marLeft w:val="0"/>
      <w:marRight w:val="0"/>
      <w:marTop w:val="0"/>
      <w:marBottom w:val="0"/>
      <w:divBdr>
        <w:top w:val="none" w:sz="0" w:space="0" w:color="auto"/>
        <w:left w:val="none" w:sz="0" w:space="0" w:color="auto"/>
        <w:bottom w:val="none" w:sz="0" w:space="0" w:color="auto"/>
        <w:right w:val="none" w:sz="0" w:space="0" w:color="auto"/>
      </w:divBdr>
    </w:div>
    <w:div w:id="1891963427">
      <w:bodyDiv w:val="1"/>
      <w:marLeft w:val="0"/>
      <w:marRight w:val="0"/>
      <w:marTop w:val="0"/>
      <w:marBottom w:val="0"/>
      <w:divBdr>
        <w:top w:val="none" w:sz="0" w:space="0" w:color="auto"/>
        <w:left w:val="none" w:sz="0" w:space="0" w:color="auto"/>
        <w:bottom w:val="none" w:sz="0" w:space="0" w:color="auto"/>
        <w:right w:val="none" w:sz="0" w:space="0" w:color="auto"/>
      </w:divBdr>
    </w:div>
    <w:div w:id="1897662028">
      <w:bodyDiv w:val="1"/>
      <w:marLeft w:val="0"/>
      <w:marRight w:val="0"/>
      <w:marTop w:val="0"/>
      <w:marBottom w:val="0"/>
      <w:divBdr>
        <w:top w:val="none" w:sz="0" w:space="0" w:color="auto"/>
        <w:left w:val="none" w:sz="0" w:space="0" w:color="auto"/>
        <w:bottom w:val="none" w:sz="0" w:space="0" w:color="auto"/>
        <w:right w:val="none" w:sz="0" w:space="0" w:color="auto"/>
      </w:divBdr>
    </w:div>
    <w:div w:id="1898513005">
      <w:bodyDiv w:val="1"/>
      <w:marLeft w:val="0"/>
      <w:marRight w:val="0"/>
      <w:marTop w:val="0"/>
      <w:marBottom w:val="0"/>
      <w:divBdr>
        <w:top w:val="none" w:sz="0" w:space="0" w:color="auto"/>
        <w:left w:val="none" w:sz="0" w:space="0" w:color="auto"/>
        <w:bottom w:val="none" w:sz="0" w:space="0" w:color="auto"/>
        <w:right w:val="none" w:sz="0" w:space="0" w:color="auto"/>
      </w:divBdr>
    </w:div>
    <w:div w:id="1903981067">
      <w:bodyDiv w:val="1"/>
      <w:marLeft w:val="0"/>
      <w:marRight w:val="0"/>
      <w:marTop w:val="0"/>
      <w:marBottom w:val="0"/>
      <w:divBdr>
        <w:top w:val="none" w:sz="0" w:space="0" w:color="auto"/>
        <w:left w:val="none" w:sz="0" w:space="0" w:color="auto"/>
        <w:bottom w:val="none" w:sz="0" w:space="0" w:color="auto"/>
        <w:right w:val="none" w:sz="0" w:space="0" w:color="auto"/>
      </w:divBdr>
    </w:div>
    <w:div w:id="1904214292">
      <w:bodyDiv w:val="1"/>
      <w:marLeft w:val="0"/>
      <w:marRight w:val="0"/>
      <w:marTop w:val="0"/>
      <w:marBottom w:val="0"/>
      <w:divBdr>
        <w:top w:val="none" w:sz="0" w:space="0" w:color="auto"/>
        <w:left w:val="none" w:sz="0" w:space="0" w:color="auto"/>
        <w:bottom w:val="none" w:sz="0" w:space="0" w:color="auto"/>
        <w:right w:val="none" w:sz="0" w:space="0" w:color="auto"/>
      </w:divBdr>
    </w:div>
    <w:div w:id="1908570839">
      <w:bodyDiv w:val="1"/>
      <w:marLeft w:val="0"/>
      <w:marRight w:val="0"/>
      <w:marTop w:val="0"/>
      <w:marBottom w:val="0"/>
      <w:divBdr>
        <w:top w:val="none" w:sz="0" w:space="0" w:color="auto"/>
        <w:left w:val="none" w:sz="0" w:space="0" w:color="auto"/>
        <w:bottom w:val="none" w:sz="0" w:space="0" w:color="auto"/>
        <w:right w:val="none" w:sz="0" w:space="0" w:color="auto"/>
      </w:divBdr>
    </w:div>
    <w:div w:id="1909413555">
      <w:bodyDiv w:val="1"/>
      <w:marLeft w:val="0"/>
      <w:marRight w:val="0"/>
      <w:marTop w:val="0"/>
      <w:marBottom w:val="0"/>
      <w:divBdr>
        <w:top w:val="none" w:sz="0" w:space="0" w:color="auto"/>
        <w:left w:val="none" w:sz="0" w:space="0" w:color="auto"/>
        <w:bottom w:val="none" w:sz="0" w:space="0" w:color="auto"/>
        <w:right w:val="none" w:sz="0" w:space="0" w:color="auto"/>
      </w:divBdr>
    </w:div>
    <w:div w:id="1911577615">
      <w:bodyDiv w:val="1"/>
      <w:marLeft w:val="0"/>
      <w:marRight w:val="0"/>
      <w:marTop w:val="0"/>
      <w:marBottom w:val="0"/>
      <w:divBdr>
        <w:top w:val="none" w:sz="0" w:space="0" w:color="auto"/>
        <w:left w:val="none" w:sz="0" w:space="0" w:color="auto"/>
        <w:bottom w:val="none" w:sz="0" w:space="0" w:color="auto"/>
        <w:right w:val="none" w:sz="0" w:space="0" w:color="auto"/>
      </w:divBdr>
    </w:div>
    <w:div w:id="1928346722">
      <w:bodyDiv w:val="1"/>
      <w:marLeft w:val="0"/>
      <w:marRight w:val="0"/>
      <w:marTop w:val="0"/>
      <w:marBottom w:val="0"/>
      <w:divBdr>
        <w:top w:val="none" w:sz="0" w:space="0" w:color="auto"/>
        <w:left w:val="none" w:sz="0" w:space="0" w:color="auto"/>
        <w:bottom w:val="none" w:sz="0" w:space="0" w:color="auto"/>
        <w:right w:val="none" w:sz="0" w:space="0" w:color="auto"/>
      </w:divBdr>
    </w:div>
    <w:div w:id="1937900140">
      <w:bodyDiv w:val="1"/>
      <w:marLeft w:val="0"/>
      <w:marRight w:val="0"/>
      <w:marTop w:val="0"/>
      <w:marBottom w:val="0"/>
      <w:divBdr>
        <w:top w:val="none" w:sz="0" w:space="0" w:color="auto"/>
        <w:left w:val="none" w:sz="0" w:space="0" w:color="auto"/>
        <w:bottom w:val="none" w:sz="0" w:space="0" w:color="auto"/>
        <w:right w:val="none" w:sz="0" w:space="0" w:color="auto"/>
      </w:divBdr>
    </w:div>
    <w:div w:id="1942755561">
      <w:bodyDiv w:val="1"/>
      <w:marLeft w:val="0"/>
      <w:marRight w:val="0"/>
      <w:marTop w:val="0"/>
      <w:marBottom w:val="0"/>
      <w:divBdr>
        <w:top w:val="none" w:sz="0" w:space="0" w:color="auto"/>
        <w:left w:val="none" w:sz="0" w:space="0" w:color="auto"/>
        <w:bottom w:val="none" w:sz="0" w:space="0" w:color="auto"/>
        <w:right w:val="none" w:sz="0" w:space="0" w:color="auto"/>
      </w:divBdr>
    </w:div>
    <w:div w:id="1946451327">
      <w:bodyDiv w:val="1"/>
      <w:marLeft w:val="0"/>
      <w:marRight w:val="0"/>
      <w:marTop w:val="0"/>
      <w:marBottom w:val="0"/>
      <w:divBdr>
        <w:top w:val="none" w:sz="0" w:space="0" w:color="auto"/>
        <w:left w:val="none" w:sz="0" w:space="0" w:color="auto"/>
        <w:bottom w:val="none" w:sz="0" w:space="0" w:color="auto"/>
        <w:right w:val="none" w:sz="0" w:space="0" w:color="auto"/>
      </w:divBdr>
    </w:div>
    <w:div w:id="1950315920">
      <w:bodyDiv w:val="1"/>
      <w:marLeft w:val="0"/>
      <w:marRight w:val="0"/>
      <w:marTop w:val="0"/>
      <w:marBottom w:val="0"/>
      <w:divBdr>
        <w:top w:val="none" w:sz="0" w:space="0" w:color="auto"/>
        <w:left w:val="none" w:sz="0" w:space="0" w:color="auto"/>
        <w:bottom w:val="none" w:sz="0" w:space="0" w:color="auto"/>
        <w:right w:val="none" w:sz="0" w:space="0" w:color="auto"/>
      </w:divBdr>
    </w:div>
    <w:div w:id="1961450854">
      <w:bodyDiv w:val="1"/>
      <w:marLeft w:val="0"/>
      <w:marRight w:val="0"/>
      <w:marTop w:val="0"/>
      <w:marBottom w:val="0"/>
      <w:divBdr>
        <w:top w:val="none" w:sz="0" w:space="0" w:color="auto"/>
        <w:left w:val="none" w:sz="0" w:space="0" w:color="auto"/>
        <w:bottom w:val="none" w:sz="0" w:space="0" w:color="auto"/>
        <w:right w:val="none" w:sz="0" w:space="0" w:color="auto"/>
      </w:divBdr>
    </w:div>
    <w:div w:id="1979525718">
      <w:bodyDiv w:val="1"/>
      <w:marLeft w:val="0"/>
      <w:marRight w:val="0"/>
      <w:marTop w:val="0"/>
      <w:marBottom w:val="0"/>
      <w:divBdr>
        <w:top w:val="none" w:sz="0" w:space="0" w:color="auto"/>
        <w:left w:val="none" w:sz="0" w:space="0" w:color="auto"/>
        <w:bottom w:val="none" w:sz="0" w:space="0" w:color="auto"/>
        <w:right w:val="none" w:sz="0" w:space="0" w:color="auto"/>
      </w:divBdr>
    </w:div>
    <w:div w:id="1982996978">
      <w:bodyDiv w:val="1"/>
      <w:marLeft w:val="0"/>
      <w:marRight w:val="0"/>
      <w:marTop w:val="0"/>
      <w:marBottom w:val="0"/>
      <w:divBdr>
        <w:top w:val="none" w:sz="0" w:space="0" w:color="auto"/>
        <w:left w:val="none" w:sz="0" w:space="0" w:color="auto"/>
        <w:bottom w:val="none" w:sz="0" w:space="0" w:color="auto"/>
        <w:right w:val="none" w:sz="0" w:space="0" w:color="auto"/>
      </w:divBdr>
    </w:div>
    <w:div w:id="1988699890">
      <w:bodyDiv w:val="1"/>
      <w:marLeft w:val="0"/>
      <w:marRight w:val="0"/>
      <w:marTop w:val="0"/>
      <w:marBottom w:val="0"/>
      <w:divBdr>
        <w:top w:val="none" w:sz="0" w:space="0" w:color="auto"/>
        <w:left w:val="none" w:sz="0" w:space="0" w:color="auto"/>
        <w:bottom w:val="none" w:sz="0" w:space="0" w:color="auto"/>
        <w:right w:val="none" w:sz="0" w:space="0" w:color="auto"/>
      </w:divBdr>
    </w:div>
    <w:div w:id="1989631607">
      <w:bodyDiv w:val="1"/>
      <w:marLeft w:val="0"/>
      <w:marRight w:val="0"/>
      <w:marTop w:val="0"/>
      <w:marBottom w:val="0"/>
      <w:divBdr>
        <w:top w:val="none" w:sz="0" w:space="0" w:color="auto"/>
        <w:left w:val="none" w:sz="0" w:space="0" w:color="auto"/>
        <w:bottom w:val="none" w:sz="0" w:space="0" w:color="auto"/>
        <w:right w:val="none" w:sz="0" w:space="0" w:color="auto"/>
      </w:divBdr>
    </w:div>
    <w:div w:id="1990162816">
      <w:bodyDiv w:val="1"/>
      <w:marLeft w:val="0"/>
      <w:marRight w:val="0"/>
      <w:marTop w:val="0"/>
      <w:marBottom w:val="0"/>
      <w:divBdr>
        <w:top w:val="none" w:sz="0" w:space="0" w:color="auto"/>
        <w:left w:val="none" w:sz="0" w:space="0" w:color="auto"/>
        <w:bottom w:val="none" w:sz="0" w:space="0" w:color="auto"/>
        <w:right w:val="none" w:sz="0" w:space="0" w:color="auto"/>
      </w:divBdr>
    </w:div>
    <w:div w:id="2002273796">
      <w:bodyDiv w:val="1"/>
      <w:marLeft w:val="0"/>
      <w:marRight w:val="0"/>
      <w:marTop w:val="0"/>
      <w:marBottom w:val="0"/>
      <w:divBdr>
        <w:top w:val="none" w:sz="0" w:space="0" w:color="auto"/>
        <w:left w:val="none" w:sz="0" w:space="0" w:color="auto"/>
        <w:bottom w:val="none" w:sz="0" w:space="0" w:color="auto"/>
        <w:right w:val="none" w:sz="0" w:space="0" w:color="auto"/>
      </w:divBdr>
    </w:div>
    <w:div w:id="2024431341">
      <w:bodyDiv w:val="1"/>
      <w:marLeft w:val="0"/>
      <w:marRight w:val="0"/>
      <w:marTop w:val="0"/>
      <w:marBottom w:val="0"/>
      <w:divBdr>
        <w:top w:val="none" w:sz="0" w:space="0" w:color="auto"/>
        <w:left w:val="none" w:sz="0" w:space="0" w:color="auto"/>
        <w:bottom w:val="none" w:sz="0" w:space="0" w:color="auto"/>
        <w:right w:val="none" w:sz="0" w:space="0" w:color="auto"/>
      </w:divBdr>
    </w:div>
    <w:div w:id="2030332223">
      <w:bodyDiv w:val="1"/>
      <w:marLeft w:val="0"/>
      <w:marRight w:val="0"/>
      <w:marTop w:val="0"/>
      <w:marBottom w:val="0"/>
      <w:divBdr>
        <w:top w:val="none" w:sz="0" w:space="0" w:color="auto"/>
        <w:left w:val="none" w:sz="0" w:space="0" w:color="auto"/>
        <w:bottom w:val="none" w:sz="0" w:space="0" w:color="auto"/>
        <w:right w:val="none" w:sz="0" w:space="0" w:color="auto"/>
      </w:divBdr>
    </w:div>
    <w:div w:id="2031295221">
      <w:bodyDiv w:val="1"/>
      <w:marLeft w:val="0"/>
      <w:marRight w:val="0"/>
      <w:marTop w:val="0"/>
      <w:marBottom w:val="0"/>
      <w:divBdr>
        <w:top w:val="none" w:sz="0" w:space="0" w:color="auto"/>
        <w:left w:val="none" w:sz="0" w:space="0" w:color="auto"/>
        <w:bottom w:val="none" w:sz="0" w:space="0" w:color="auto"/>
        <w:right w:val="none" w:sz="0" w:space="0" w:color="auto"/>
      </w:divBdr>
    </w:div>
    <w:div w:id="2034459833">
      <w:bodyDiv w:val="1"/>
      <w:marLeft w:val="0"/>
      <w:marRight w:val="0"/>
      <w:marTop w:val="0"/>
      <w:marBottom w:val="0"/>
      <w:divBdr>
        <w:top w:val="none" w:sz="0" w:space="0" w:color="auto"/>
        <w:left w:val="none" w:sz="0" w:space="0" w:color="auto"/>
        <w:bottom w:val="none" w:sz="0" w:space="0" w:color="auto"/>
        <w:right w:val="none" w:sz="0" w:space="0" w:color="auto"/>
      </w:divBdr>
    </w:div>
    <w:div w:id="2035497809">
      <w:bodyDiv w:val="1"/>
      <w:marLeft w:val="0"/>
      <w:marRight w:val="0"/>
      <w:marTop w:val="0"/>
      <w:marBottom w:val="0"/>
      <w:divBdr>
        <w:top w:val="none" w:sz="0" w:space="0" w:color="auto"/>
        <w:left w:val="none" w:sz="0" w:space="0" w:color="auto"/>
        <w:bottom w:val="none" w:sz="0" w:space="0" w:color="auto"/>
        <w:right w:val="none" w:sz="0" w:space="0" w:color="auto"/>
      </w:divBdr>
    </w:div>
    <w:div w:id="2042658432">
      <w:bodyDiv w:val="1"/>
      <w:marLeft w:val="0"/>
      <w:marRight w:val="0"/>
      <w:marTop w:val="0"/>
      <w:marBottom w:val="0"/>
      <w:divBdr>
        <w:top w:val="none" w:sz="0" w:space="0" w:color="auto"/>
        <w:left w:val="none" w:sz="0" w:space="0" w:color="auto"/>
        <w:bottom w:val="none" w:sz="0" w:space="0" w:color="auto"/>
        <w:right w:val="none" w:sz="0" w:space="0" w:color="auto"/>
      </w:divBdr>
    </w:div>
    <w:div w:id="2054692642">
      <w:bodyDiv w:val="1"/>
      <w:marLeft w:val="0"/>
      <w:marRight w:val="0"/>
      <w:marTop w:val="0"/>
      <w:marBottom w:val="0"/>
      <w:divBdr>
        <w:top w:val="none" w:sz="0" w:space="0" w:color="auto"/>
        <w:left w:val="none" w:sz="0" w:space="0" w:color="auto"/>
        <w:bottom w:val="none" w:sz="0" w:space="0" w:color="auto"/>
        <w:right w:val="none" w:sz="0" w:space="0" w:color="auto"/>
      </w:divBdr>
    </w:div>
    <w:div w:id="2059276244">
      <w:bodyDiv w:val="1"/>
      <w:marLeft w:val="0"/>
      <w:marRight w:val="0"/>
      <w:marTop w:val="0"/>
      <w:marBottom w:val="0"/>
      <w:divBdr>
        <w:top w:val="none" w:sz="0" w:space="0" w:color="auto"/>
        <w:left w:val="none" w:sz="0" w:space="0" w:color="auto"/>
        <w:bottom w:val="none" w:sz="0" w:space="0" w:color="auto"/>
        <w:right w:val="none" w:sz="0" w:space="0" w:color="auto"/>
      </w:divBdr>
    </w:div>
    <w:div w:id="2064210185">
      <w:bodyDiv w:val="1"/>
      <w:marLeft w:val="0"/>
      <w:marRight w:val="0"/>
      <w:marTop w:val="0"/>
      <w:marBottom w:val="0"/>
      <w:divBdr>
        <w:top w:val="none" w:sz="0" w:space="0" w:color="auto"/>
        <w:left w:val="none" w:sz="0" w:space="0" w:color="auto"/>
        <w:bottom w:val="none" w:sz="0" w:space="0" w:color="auto"/>
        <w:right w:val="none" w:sz="0" w:space="0" w:color="auto"/>
      </w:divBdr>
    </w:div>
    <w:div w:id="2064523944">
      <w:bodyDiv w:val="1"/>
      <w:marLeft w:val="0"/>
      <w:marRight w:val="0"/>
      <w:marTop w:val="0"/>
      <w:marBottom w:val="0"/>
      <w:divBdr>
        <w:top w:val="none" w:sz="0" w:space="0" w:color="auto"/>
        <w:left w:val="none" w:sz="0" w:space="0" w:color="auto"/>
        <w:bottom w:val="none" w:sz="0" w:space="0" w:color="auto"/>
        <w:right w:val="none" w:sz="0" w:space="0" w:color="auto"/>
      </w:divBdr>
    </w:div>
    <w:div w:id="2069106189">
      <w:bodyDiv w:val="1"/>
      <w:marLeft w:val="0"/>
      <w:marRight w:val="0"/>
      <w:marTop w:val="0"/>
      <w:marBottom w:val="0"/>
      <w:divBdr>
        <w:top w:val="none" w:sz="0" w:space="0" w:color="auto"/>
        <w:left w:val="none" w:sz="0" w:space="0" w:color="auto"/>
        <w:bottom w:val="none" w:sz="0" w:space="0" w:color="auto"/>
        <w:right w:val="none" w:sz="0" w:space="0" w:color="auto"/>
      </w:divBdr>
    </w:div>
    <w:div w:id="2077164623">
      <w:bodyDiv w:val="1"/>
      <w:marLeft w:val="0"/>
      <w:marRight w:val="0"/>
      <w:marTop w:val="0"/>
      <w:marBottom w:val="0"/>
      <w:divBdr>
        <w:top w:val="none" w:sz="0" w:space="0" w:color="auto"/>
        <w:left w:val="none" w:sz="0" w:space="0" w:color="auto"/>
        <w:bottom w:val="none" w:sz="0" w:space="0" w:color="auto"/>
        <w:right w:val="none" w:sz="0" w:space="0" w:color="auto"/>
      </w:divBdr>
    </w:div>
    <w:div w:id="2080321660">
      <w:bodyDiv w:val="1"/>
      <w:marLeft w:val="0"/>
      <w:marRight w:val="0"/>
      <w:marTop w:val="0"/>
      <w:marBottom w:val="0"/>
      <w:divBdr>
        <w:top w:val="none" w:sz="0" w:space="0" w:color="auto"/>
        <w:left w:val="none" w:sz="0" w:space="0" w:color="auto"/>
        <w:bottom w:val="none" w:sz="0" w:space="0" w:color="auto"/>
        <w:right w:val="none" w:sz="0" w:space="0" w:color="auto"/>
      </w:divBdr>
    </w:div>
    <w:div w:id="2082634863">
      <w:bodyDiv w:val="1"/>
      <w:marLeft w:val="0"/>
      <w:marRight w:val="0"/>
      <w:marTop w:val="0"/>
      <w:marBottom w:val="0"/>
      <w:divBdr>
        <w:top w:val="none" w:sz="0" w:space="0" w:color="auto"/>
        <w:left w:val="none" w:sz="0" w:space="0" w:color="auto"/>
        <w:bottom w:val="none" w:sz="0" w:space="0" w:color="auto"/>
        <w:right w:val="none" w:sz="0" w:space="0" w:color="auto"/>
      </w:divBdr>
    </w:div>
    <w:div w:id="2082868665">
      <w:bodyDiv w:val="1"/>
      <w:marLeft w:val="0"/>
      <w:marRight w:val="0"/>
      <w:marTop w:val="0"/>
      <w:marBottom w:val="0"/>
      <w:divBdr>
        <w:top w:val="none" w:sz="0" w:space="0" w:color="auto"/>
        <w:left w:val="none" w:sz="0" w:space="0" w:color="auto"/>
        <w:bottom w:val="none" w:sz="0" w:space="0" w:color="auto"/>
        <w:right w:val="none" w:sz="0" w:space="0" w:color="auto"/>
      </w:divBdr>
    </w:div>
    <w:div w:id="2085763755">
      <w:bodyDiv w:val="1"/>
      <w:marLeft w:val="0"/>
      <w:marRight w:val="0"/>
      <w:marTop w:val="0"/>
      <w:marBottom w:val="0"/>
      <w:divBdr>
        <w:top w:val="none" w:sz="0" w:space="0" w:color="auto"/>
        <w:left w:val="none" w:sz="0" w:space="0" w:color="auto"/>
        <w:bottom w:val="none" w:sz="0" w:space="0" w:color="auto"/>
        <w:right w:val="none" w:sz="0" w:space="0" w:color="auto"/>
      </w:divBdr>
    </w:div>
    <w:div w:id="2086144902">
      <w:bodyDiv w:val="1"/>
      <w:marLeft w:val="0"/>
      <w:marRight w:val="0"/>
      <w:marTop w:val="0"/>
      <w:marBottom w:val="0"/>
      <w:divBdr>
        <w:top w:val="none" w:sz="0" w:space="0" w:color="auto"/>
        <w:left w:val="none" w:sz="0" w:space="0" w:color="auto"/>
        <w:bottom w:val="none" w:sz="0" w:space="0" w:color="auto"/>
        <w:right w:val="none" w:sz="0" w:space="0" w:color="auto"/>
      </w:divBdr>
    </w:div>
    <w:div w:id="2092653234">
      <w:bodyDiv w:val="1"/>
      <w:marLeft w:val="0"/>
      <w:marRight w:val="0"/>
      <w:marTop w:val="0"/>
      <w:marBottom w:val="0"/>
      <w:divBdr>
        <w:top w:val="none" w:sz="0" w:space="0" w:color="auto"/>
        <w:left w:val="none" w:sz="0" w:space="0" w:color="auto"/>
        <w:bottom w:val="none" w:sz="0" w:space="0" w:color="auto"/>
        <w:right w:val="none" w:sz="0" w:space="0" w:color="auto"/>
      </w:divBdr>
    </w:div>
    <w:div w:id="2093314827">
      <w:bodyDiv w:val="1"/>
      <w:marLeft w:val="0"/>
      <w:marRight w:val="0"/>
      <w:marTop w:val="0"/>
      <w:marBottom w:val="0"/>
      <w:divBdr>
        <w:top w:val="none" w:sz="0" w:space="0" w:color="auto"/>
        <w:left w:val="none" w:sz="0" w:space="0" w:color="auto"/>
        <w:bottom w:val="none" w:sz="0" w:space="0" w:color="auto"/>
        <w:right w:val="none" w:sz="0" w:space="0" w:color="auto"/>
      </w:divBdr>
    </w:div>
    <w:div w:id="2096777097">
      <w:bodyDiv w:val="1"/>
      <w:marLeft w:val="0"/>
      <w:marRight w:val="0"/>
      <w:marTop w:val="0"/>
      <w:marBottom w:val="0"/>
      <w:divBdr>
        <w:top w:val="none" w:sz="0" w:space="0" w:color="auto"/>
        <w:left w:val="none" w:sz="0" w:space="0" w:color="auto"/>
        <w:bottom w:val="none" w:sz="0" w:space="0" w:color="auto"/>
        <w:right w:val="none" w:sz="0" w:space="0" w:color="auto"/>
      </w:divBdr>
    </w:div>
    <w:div w:id="2097045132">
      <w:bodyDiv w:val="1"/>
      <w:marLeft w:val="0"/>
      <w:marRight w:val="0"/>
      <w:marTop w:val="0"/>
      <w:marBottom w:val="0"/>
      <w:divBdr>
        <w:top w:val="none" w:sz="0" w:space="0" w:color="auto"/>
        <w:left w:val="none" w:sz="0" w:space="0" w:color="auto"/>
        <w:bottom w:val="none" w:sz="0" w:space="0" w:color="auto"/>
        <w:right w:val="none" w:sz="0" w:space="0" w:color="auto"/>
      </w:divBdr>
    </w:div>
    <w:div w:id="2101365062">
      <w:bodyDiv w:val="1"/>
      <w:marLeft w:val="0"/>
      <w:marRight w:val="0"/>
      <w:marTop w:val="0"/>
      <w:marBottom w:val="0"/>
      <w:divBdr>
        <w:top w:val="none" w:sz="0" w:space="0" w:color="auto"/>
        <w:left w:val="none" w:sz="0" w:space="0" w:color="auto"/>
        <w:bottom w:val="none" w:sz="0" w:space="0" w:color="auto"/>
        <w:right w:val="none" w:sz="0" w:space="0" w:color="auto"/>
      </w:divBdr>
    </w:div>
    <w:div w:id="2113697220">
      <w:bodyDiv w:val="1"/>
      <w:marLeft w:val="0"/>
      <w:marRight w:val="0"/>
      <w:marTop w:val="0"/>
      <w:marBottom w:val="0"/>
      <w:divBdr>
        <w:top w:val="none" w:sz="0" w:space="0" w:color="auto"/>
        <w:left w:val="none" w:sz="0" w:space="0" w:color="auto"/>
        <w:bottom w:val="none" w:sz="0" w:space="0" w:color="auto"/>
        <w:right w:val="none" w:sz="0" w:space="0" w:color="auto"/>
      </w:divBdr>
    </w:div>
    <w:div w:id="2114350627">
      <w:bodyDiv w:val="1"/>
      <w:marLeft w:val="0"/>
      <w:marRight w:val="0"/>
      <w:marTop w:val="0"/>
      <w:marBottom w:val="0"/>
      <w:divBdr>
        <w:top w:val="none" w:sz="0" w:space="0" w:color="auto"/>
        <w:left w:val="none" w:sz="0" w:space="0" w:color="auto"/>
        <w:bottom w:val="none" w:sz="0" w:space="0" w:color="auto"/>
        <w:right w:val="none" w:sz="0" w:space="0" w:color="auto"/>
      </w:divBdr>
    </w:div>
    <w:div w:id="2117435257">
      <w:bodyDiv w:val="1"/>
      <w:marLeft w:val="0"/>
      <w:marRight w:val="0"/>
      <w:marTop w:val="0"/>
      <w:marBottom w:val="0"/>
      <w:divBdr>
        <w:top w:val="none" w:sz="0" w:space="0" w:color="auto"/>
        <w:left w:val="none" w:sz="0" w:space="0" w:color="auto"/>
        <w:bottom w:val="none" w:sz="0" w:space="0" w:color="auto"/>
        <w:right w:val="none" w:sz="0" w:space="0" w:color="auto"/>
      </w:divBdr>
    </w:div>
    <w:div w:id="2129664555">
      <w:bodyDiv w:val="1"/>
      <w:marLeft w:val="0"/>
      <w:marRight w:val="0"/>
      <w:marTop w:val="0"/>
      <w:marBottom w:val="0"/>
      <w:divBdr>
        <w:top w:val="none" w:sz="0" w:space="0" w:color="auto"/>
        <w:left w:val="none" w:sz="0" w:space="0" w:color="auto"/>
        <w:bottom w:val="none" w:sz="0" w:space="0" w:color="auto"/>
        <w:right w:val="none" w:sz="0" w:space="0" w:color="auto"/>
      </w:divBdr>
    </w:div>
    <w:div w:id="2130542376">
      <w:bodyDiv w:val="1"/>
      <w:marLeft w:val="0"/>
      <w:marRight w:val="0"/>
      <w:marTop w:val="0"/>
      <w:marBottom w:val="0"/>
      <w:divBdr>
        <w:top w:val="none" w:sz="0" w:space="0" w:color="auto"/>
        <w:left w:val="none" w:sz="0" w:space="0" w:color="auto"/>
        <w:bottom w:val="none" w:sz="0" w:space="0" w:color="auto"/>
        <w:right w:val="none" w:sz="0" w:space="0" w:color="auto"/>
      </w:divBdr>
    </w:div>
    <w:div w:id="2131507448">
      <w:bodyDiv w:val="1"/>
      <w:marLeft w:val="0"/>
      <w:marRight w:val="0"/>
      <w:marTop w:val="0"/>
      <w:marBottom w:val="0"/>
      <w:divBdr>
        <w:top w:val="none" w:sz="0" w:space="0" w:color="auto"/>
        <w:left w:val="none" w:sz="0" w:space="0" w:color="auto"/>
        <w:bottom w:val="none" w:sz="0" w:space="0" w:color="auto"/>
        <w:right w:val="none" w:sz="0" w:space="0" w:color="auto"/>
      </w:divBdr>
    </w:div>
    <w:div w:id="2136173885">
      <w:bodyDiv w:val="1"/>
      <w:marLeft w:val="0"/>
      <w:marRight w:val="0"/>
      <w:marTop w:val="0"/>
      <w:marBottom w:val="0"/>
      <w:divBdr>
        <w:top w:val="none" w:sz="0" w:space="0" w:color="auto"/>
        <w:left w:val="none" w:sz="0" w:space="0" w:color="auto"/>
        <w:bottom w:val="none" w:sz="0" w:space="0" w:color="auto"/>
        <w:right w:val="none" w:sz="0" w:space="0" w:color="auto"/>
      </w:divBdr>
    </w:div>
    <w:div w:id="2137407974">
      <w:bodyDiv w:val="1"/>
      <w:marLeft w:val="0"/>
      <w:marRight w:val="0"/>
      <w:marTop w:val="0"/>
      <w:marBottom w:val="0"/>
      <w:divBdr>
        <w:top w:val="none" w:sz="0" w:space="0" w:color="auto"/>
        <w:left w:val="none" w:sz="0" w:space="0" w:color="auto"/>
        <w:bottom w:val="none" w:sz="0" w:space="0" w:color="auto"/>
        <w:right w:val="none" w:sz="0" w:space="0" w:color="auto"/>
      </w:divBdr>
    </w:div>
    <w:div w:id="2141458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yberriskinstitute.org/" TargetMode="External"/><Relationship Id="rId18" Type="http://schemas.openxmlformats.org/officeDocument/2006/relationships/hyperlink" Target="https://airc.nist.gov/airmf-resources/playbook/govern/" TargetMode="External"/><Relationship Id="rId26" Type="http://schemas.openxmlformats.org/officeDocument/2006/relationships/hyperlink" Target="https://airc.nist.gov/airmf-resources/playbook/map/" TargetMode="External"/><Relationship Id="rId39" Type="http://schemas.openxmlformats.org/officeDocument/2006/relationships/header" Target="header2.xml"/><Relationship Id="rId21" Type="http://schemas.openxmlformats.org/officeDocument/2006/relationships/hyperlink" Target="https://airc.nist.gov/airmf-resources/playbook/map/" TargetMode="External"/><Relationship Id="rId34" Type="http://schemas.openxmlformats.org/officeDocument/2006/relationships/hyperlink" Target="https://airc.nist.gov/airmf-resources/playbook/measure/"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airc.nist.gov/airmf-resources/playbook/govern/" TargetMode="External"/><Relationship Id="rId20" Type="http://schemas.openxmlformats.org/officeDocument/2006/relationships/hyperlink" Target="https://airc.nist.gov/airmf-resources/playbook/govern/" TargetMode="External"/><Relationship Id="rId29" Type="http://schemas.openxmlformats.org/officeDocument/2006/relationships/hyperlink" Target="https://airc.nist.gov/airmf-resources/playbook/map/"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s://airc.nist.gov/airmf-resources/playbook/map/" TargetMode="External"/><Relationship Id="rId32" Type="http://schemas.openxmlformats.org/officeDocument/2006/relationships/hyperlink" Target="https://airc.nist.gov/airmf-resources/playbook/measure/"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airc.nist.gov/airmf-resources/playbook/govern/" TargetMode="External"/><Relationship Id="rId23" Type="http://schemas.openxmlformats.org/officeDocument/2006/relationships/hyperlink" Target="https://airc.nist.gov/airmf-resources/playbook/map/" TargetMode="External"/><Relationship Id="rId28" Type="http://schemas.openxmlformats.org/officeDocument/2006/relationships/hyperlink" Target="https://airc.nist.gov/airmf-resources/playbook/map/" TargetMode="External"/><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airc.nist.gov/airmf-resources/playbook/govern/" TargetMode="External"/><Relationship Id="rId31" Type="http://schemas.openxmlformats.org/officeDocument/2006/relationships/hyperlink" Target="https://airc.nist.gov/airmf-resources/playbook/ma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ecretariat@cyberriskinstitute.org" TargetMode="External"/><Relationship Id="rId22" Type="http://schemas.openxmlformats.org/officeDocument/2006/relationships/hyperlink" Target="https://airc.nist.gov/airmf-resources/playbook/map/" TargetMode="External"/><Relationship Id="rId27" Type="http://schemas.openxmlformats.org/officeDocument/2006/relationships/hyperlink" Target="https://airc.nist.gov/airmf-resources/playbook/map/" TargetMode="External"/><Relationship Id="rId30" Type="http://schemas.openxmlformats.org/officeDocument/2006/relationships/hyperlink" Target="https://airc.nist.gov/airmf-resources/playbook/map/" TargetMode="External"/><Relationship Id="rId35" Type="http://schemas.openxmlformats.org/officeDocument/2006/relationships/hyperlink" Target="https://airc.nist.gov/airmf-resources/playbook/measure/"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s://airc.nist.gov/airmf-resources/playbook/govern/" TargetMode="External"/><Relationship Id="rId25" Type="http://schemas.openxmlformats.org/officeDocument/2006/relationships/hyperlink" Target="https://airc.nist.gov/airmf-resources/playbook/map/" TargetMode="External"/><Relationship Id="rId33" Type="http://schemas.openxmlformats.org/officeDocument/2006/relationships/hyperlink" Target="https://airc.nist.gov/airmf-resources/playbook/measure/" TargetMode="External"/><Relationship Id="rId38"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Wake\Downloads\CRI_Report_Template.dotx" TargetMode="External"/></Relationships>
</file>

<file path=word/theme/theme1.xml><?xml version="1.0" encoding="utf-8"?>
<a:theme xmlns:a="http://schemas.openxmlformats.org/drawingml/2006/main" name="DL">
  <a:themeElements>
    <a:clrScheme name="CRI Brand Colors">
      <a:dk1>
        <a:srgbClr val="000000"/>
      </a:dk1>
      <a:lt1>
        <a:srgbClr val="FFFFFF"/>
      </a:lt1>
      <a:dk2>
        <a:srgbClr val="53585F"/>
      </a:dk2>
      <a:lt2>
        <a:srgbClr val="CDDCDC"/>
      </a:lt2>
      <a:accent1>
        <a:srgbClr val="B31E3E"/>
      </a:accent1>
      <a:accent2>
        <a:srgbClr val="34246B"/>
      </a:accent2>
      <a:accent3>
        <a:srgbClr val="51459C"/>
      </a:accent3>
      <a:accent4>
        <a:srgbClr val="EFA320"/>
      </a:accent4>
      <a:accent5>
        <a:srgbClr val="2474A5"/>
      </a:accent5>
      <a:accent6>
        <a:srgbClr val="0A3B58"/>
      </a:accent6>
      <a:hlink>
        <a:srgbClr val="0000FF"/>
      </a:hlink>
      <a:folHlink>
        <a:srgbClr val="FF00F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Them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DL" id="{CE9DA1A2-2ED7-9349-8718-1AD691C689EB}" vid="{BDDE4F98-DFB1-C643-A761-35620FCCE223}"/>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4424BE0E4E44F41B35D25EFD6504971" ma:contentTypeVersion="6" ma:contentTypeDescription="Create a new document." ma:contentTypeScope="" ma:versionID="01e44dea340bbc778165ddd5a9902996">
  <xsd:schema xmlns:xsd="http://www.w3.org/2001/XMLSchema" xmlns:xs="http://www.w3.org/2001/XMLSchema" xmlns:p="http://schemas.microsoft.com/office/2006/metadata/properties" xmlns:ns2="7f2ec64e-9ab2-4d79-b3b7-fef0135904f9" xmlns:ns3="c0d78b65-1a28-4d20-8f44-f09db0c6af3c" targetNamespace="http://schemas.microsoft.com/office/2006/metadata/properties" ma:root="true" ma:fieldsID="c3b8daedc0a29188f0f5622f4a2d3321" ns2:_="" ns3:_="">
    <xsd:import namespace="7f2ec64e-9ab2-4d79-b3b7-fef0135904f9"/>
    <xsd:import namespace="c0d78b65-1a28-4d20-8f44-f09db0c6af3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2ec64e-9ab2-4d79-b3b7-fef0135904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0d78b65-1a28-4d20-8f44-f09db0c6af3c"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c0d78b65-1a28-4d20-8f44-f09db0c6af3c">
      <UserInfo>
        <DisplayName>Kelly C Volz</DisplayName>
        <AccountId>14</AccountId>
        <AccountType/>
      </UserInfo>
      <UserInfo>
        <DisplayName>Joseph M Crouse</DisplayName>
        <AccountId>10</AccountId>
        <AccountType/>
      </UserInfo>
      <UserInfo>
        <DisplayName>Bhavya Bhandari</DisplayName>
        <AccountId>9</AccountId>
        <AccountType/>
      </UserInfo>
      <UserInfo>
        <DisplayName>Kassidy Warren</DisplayName>
        <AccountId>6</AccountId>
        <AccountType/>
      </UserInfo>
    </SharedWithUsers>
  </documentManagement>
</p:properties>
</file>

<file path=customXml/itemProps1.xml><?xml version="1.0" encoding="utf-8"?>
<ds:datastoreItem xmlns:ds="http://schemas.openxmlformats.org/officeDocument/2006/customXml" ds:itemID="{BD659B99-4ED3-4F0B-8A19-10967C097271}">
  <ds:schemaRefs>
    <ds:schemaRef ds:uri="http://schemas.openxmlformats.org/officeDocument/2006/bibliography"/>
  </ds:schemaRefs>
</ds:datastoreItem>
</file>

<file path=customXml/itemProps2.xml><?xml version="1.0" encoding="utf-8"?>
<ds:datastoreItem xmlns:ds="http://schemas.openxmlformats.org/officeDocument/2006/customXml" ds:itemID="{A117D559-0EFD-40C7-B475-888E4EF852CF}">
  <ds:schemaRefs>
    <ds:schemaRef ds:uri="http://schemas.microsoft.com/sharepoint/v3/contenttype/forms"/>
  </ds:schemaRefs>
</ds:datastoreItem>
</file>

<file path=customXml/itemProps3.xml><?xml version="1.0" encoding="utf-8"?>
<ds:datastoreItem xmlns:ds="http://schemas.openxmlformats.org/officeDocument/2006/customXml" ds:itemID="{C5CA0CE4-9EB7-4271-AC6C-6286964356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2ec64e-9ab2-4d79-b3b7-fef0135904f9"/>
    <ds:schemaRef ds:uri="c0d78b65-1a28-4d20-8f44-f09db0c6af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78E1553-8618-4580-89E9-BD7A494F9F7B}">
  <ds:schemaRefs>
    <ds:schemaRef ds:uri="http://schemas.microsoft.com/office/2006/metadata/properties"/>
    <ds:schemaRef ds:uri="http://schemas.microsoft.com/office/infopath/2007/PartnerControls"/>
    <ds:schemaRef ds:uri="c0d78b65-1a28-4d20-8f44-f09db0c6af3c"/>
  </ds:schemaRefs>
</ds:datastoreItem>
</file>

<file path=docProps/app.xml><?xml version="1.0" encoding="utf-8"?>
<Properties xmlns="http://schemas.openxmlformats.org/officeDocument/2006/extended-properties" xmlns:vt="http://schemas.openxmlformats.org/officeDocument/2006/docPropsVTypes">
  <Template>CRI_Report_Template</Template>
  <TotalTime>33</TotalTime>
  <Pages>50</Pages>
  <Words>19030</Words>
  <Characters>122934</Characters>
  <Application>Microsoft Office Word</Application>
  <DocSecurity>0</DocSecurity>
  <Lines>2793</Lines>
  <Paragraphs>1302</Paragraphs>
  <ScaleCrop>false</ScaleCrop>
  <HeadingPairs>
    <vt:vector size="2" baseType="variant">
      <vt:variant>
        <vt:lpstr>Title</vt:lpstr>
      </vt:variant>
      <vt:variant>
        <vt:i4>1</vt:i4>
      </vt:variant>
    </vt:vector>
  </HeadingPairs>
  <TitlesOfParts>
    <vt:vector size="1" baseType="lpstr">
      <vt:lpstr>Supply Chain - Mike T.</vt:lpstr>
    </vt:vector>
  </TitlesOfParts>
  <Company/>
  <LinksUpToDate>false</LinksUpToDate>
  <CharactersWithSpaces>140662</CharactersWithSpaces>
  <SharedDoc>false</SharedDoc>
  <HLinks>
    <vt:vector size="1548" baseType="variant">
      <vt:variant>
        <vt:i4>655377</vt:i4>
      </vt:variant>
      <vt:variant>
        <vt:i4>1263</vt:i4>
      </vt:variant>
      <vt:variant>
        <vt:i4>0</vt:i4>
      </vt:variant>
      <vt:variant>
        <vt:i4>5</vt:i4>
      </vt:variant>
      <vt:variant>
        <vt:lpwstr/>
      </vt:variant>
      <vt:variant>
        <vt:lpwstr>EXTR0101</vt:lpwstr>
      </vt:variant>
      <vt:variant>
        <vt:i4>3276828</vt:i4>
      </vt:variant>
      <vt:variant>
        <vt:i4>1260</vt:i4>
      </vt:variant>
      <vt:variant>
        <vt:i4>0</vt:i4>
      </vt:variant>
      <vt:variant>
        <vt:i4>5</vt:i4>
      </vt:variant>
      <vt:variant>
        <vt:lpwstr/>
      </vt:variant>
      <vt:variant>
        <vt:lpwstr>Third_party_service_provider</vt:lpwstr>
      </vt:variant>
      <vt:variant>
        <vt:i4>6488151</vt:i4>
      </vt:variant>
      <vt:variant>
        <vt:i4>1209</vt:i4>
      </vt:variant>
      <vt:variant>
        <vt:i4>0</vt:i4>
      </vt:variant>
      <vt:variant>
        <vt:i4>5</vt:i4>
      </vt:variant>
      <vt:variant>
        <vt:lpwstr/>
      </vt:variant>
      <vt:variant>
        <vt:lpwstr>External_dependency</vt:lpwstr>
      </vt:variant>
      <vt:variant>
        <vt:i4>3276828</vt:i4>
      </vt:variant>
      <vt:variant>
        <vt:i4>1206</vt:i4>
      </vt:variant>
      <vt:variant>
        <vt:i4>0</vt:i4>
      </vt:variant>
      <vt:variant>
        <vt:i4>5</vt:i4>
      </vt:variant>
      <vt:variant>
        <vt:lpwstr/>
      </vt:variant>
      <vt:variant>
        <vt:lpwstr>Third_party_service_provider</vt:lpwstr>
      </vt:variant>
      <vt:variant>
        <vt:i4>3276828</vt:i4>
      </vt:variant>
      <vt:variant>
        <vt:i4>1203</vt:i4>
      </vt:variant>
      <vt:variant>
        <vt:i4>0</vt:i4>
      </vt:variant>
      <vt:variant>
        <vt:i4>5</vt:i4>
      </vt:variant>
      <vt:variant>
        <vt:lpwstr/>
      </vt:variant>
      <vt:variant>
        <vt:lpwstr>Third_party_service_provider</vt:lpwstr>
      </vt:variant>
      <vt:variant>
        <vt:i4>7733336</vt:i4>
      </vt:variant>
      <vt:variant>
        <vt:i4>1200</vt:i4>
      </vt:variant>
      <vt:variant>
        <vt:i4>0</vt:i4>
      </vt:variant>
      <vt:variant>
        <vt:i4>5</vt:i4>
      </vt:variant>
      <vt:variant>
        <vt:lpwstr/>
      </vt:variant>
      <vt:variant>
        <vt:lpwstr>_EX.CN-02.02:_Minimum_cybersecurity</vt:lpwstr>
      </vt:variant>
      <vt:variant>
        <vt:i4>3276828</vt:i4>
      </vt:variant>
      <vt:variant>
        <vt:i4>1197</vt:i4>
      </vt:variant>
      <vt:variant>
        <vt:i4>0</vt:i4>
      </vt:variant>
      <vt:variant>
        <vt:i4>5</vt:i4>
      </vt:variant>
      <vt:variant>
        <vt:lpwstr/>
      </vt:variant>
      <vt:variant>
        <vt:lpwstr>Third_party_service_provider</vt:lpwstr>
      </vt:variant>
      <vt:variant>
        <vt:i4>3276828</vt:i4>
      </vt:variant>
      <vt:variant>
        <vt:i4>1194</vt:i4>
      </vt:variant>
      <vt:variant>
        <vt:i4>0</vt:i4>
      </vt:variant>
      <vt:variant>
        <vt:i4>5</vt:i4>
      </vt:variant>
      <vt:variant>
        <vt:lpwstr/>
      </vt:variant>
      <vt:variant>
        <vt:lpwstr>Third_party_service_provider</vt:lpwstr>
      </vt:variant>
      <vt:variant>
        <vt:i4>2162701</vt:i4>
      </vt:variant>
      <vt:variant>
        <vt:i4>1185</vt:i4>
      </vt:variant>
      <vt:variant>
        <vt:i4>0</vt:i4>
      </vt:variant>
      <vt:variant>
        <vt:i4>5</vt:i4>
      </vt:variant>
      <vt:variant>
        <vt:lpwstr/>
      </vt:variant>
      <vt:variant>
        <vt:lpwstr>Situational_awareness</vt:lpwstr>
      </vt:variant>
      <vt:variant>
        <vt:i4>6750294</vt:i4>
      </vt:variant>
      <vt:variant>
        <vt:i4>1182</vt:i4>
      </vt:variant>
      <vt:variant>
        <vt:i4>0</vt:i4>
      </vt:variant>
      <vt:variant>
        <vt:i4>5</vt:i4>
      </vt:variant>
      <vt:variant>
        <vt:lpwstr/>
      </vt:variant>
      <vt:variant>
        <vt:lpwstr>Threat_intelligence</vt:lpwstr>
      </vt:variant>
      <vt:variant>
        <vt:i4>2162701</vt:i4>
      </vt:variant>
      <vt:variant>
        <vt:i4>1179</vt:i4>
      </vt:variant>
      <vt:variant>
        <vt:i4>0</vt:i4>
      </vt:variant>
      <vt:variant>
        <vt:i4>5</vt:i4>
      </vt:variant>
      <vt:variant>
        <vt:lpwstr/>
      </vt:variant>
      <vt:variant>
        <vt:lpwstr>Situational_awareness</vt:lpwstr>
      </vt:variant>
      <vt:variant>
        <vt:i4>6750294</vt:i4>
      </vt:variant>
      <vt:variant>
        <vt:i4>1176</vt:i4>
      </vt:variant>
      <vt:variant>
        <vt:i4>0</vt:i4>
      </vt:variant>
      <vt:variant>
        <vt:i4>5</vt:i4>
      </vt:variant>
      <vt:variant>
        <vt:lpwstr/>
      </vt:variant>
      <vt:variant>
        <vt:lpwstr>Threat_intelligence</vt:lpwstr>
      </vt:variant>
      <vt:variant>
        <vt:i4>3276841</vt:i4>
      </vt:variant>
      <vt:variant>
        <vt:i4>1173</vt:i4>
      </vt:variant>
      <vt:variant>
        <vt:i4>0</vt:i4>
      </vt:variant>
      <vt:variant>
        <vt:i4>5</vt:i4>
      </vt:variant>
      <vt:variant>
        <vt:lpwstr/>
      </vt:variant>
      <vt:variant>
        <vt:lpwstr>Recovery_time_obj</vt:lpwstr>
      </vt:variant>
      <vt:variant>
        <vt:i4>6291542</vt:i4>
      </vt:variant>
      <vt:variant>
        <vt:i4>1158</vt:i4>
      </vt:variant>
      <vt:variant>
        <vt:i4>0</vt:i4>
      </vt:variant>
      <vt:variant>
        <vt:i4>5</vt:i4>
      </vt:variant>
      <vt:variant>
        <vt:lpwstr/>
      </vt:variant>
      <vt:variant>
        <vt:lpwstr>Critical_infrastructure</vt:lpwstr>
      </vt:variant>
      <vt:variant>
        <vt:i4>6750294</vt:i4>
      </vt:variant>
      <vt:variant>
        <vt:i4>1128</vt:i4>
      </vt:variant>
      <vt:variant>
        <vt:i4>0</vt:i4>
      </vt:variant>
      <vt:variant>
        <vt:i4>5</vt:i4>
      </vt:variant>
      <vt:variant>
        <vt:lpwstr/>
      </vt:variant>
      <vt:variant>
        <vt:lpwstr>Threat_intelligence</vt:lpwstr>
      </vt:variant>
      <vt:variant>
        <vt:i4>6750294</vt:i4>
      </vt:variant>
      <vt:variant>
        <vt:i4>1125</vt:i4>
      </vt:variant>
      <vt:variant>
        <vt:i4>0</vt:i4>
      </vt:variant>
      <vt:variant>
        <vt:i4>5</vt:i4>
      </vt:variant>
      <vt:variant>
        <vt:lpwstr/>
      </vt:variant>
      <vt:variant>
        <vt:lpwstr>Threat_intelligence</vt:lpwstr>
      </vt:variant>
      <vt:variant>
        <vt:i4>7602270</vt:i4>
      </vt:variant>
      <vt:variant>
        <vt:i4>1122</vt:i4>
      </vt:variant>
      <vt:variant>
        <vt:i4>0</vt:i4>
      </vt:variant>
      <vt:variant>
        <vt:i4>5</vt:i4>
      </vt:variant>
      <vt:variant>
        <vt:lpwstr/>
      </vt:variant>
      <vt:variant>
        <vt:lpwstr>_DE.AE-04.01:_The_organization</vt:lpwstr>
      </vt:variant>
      <vt:variant>
        <vt:i4>6881359</vt:i4>
      </vt:variant>
      <vt:variant>
        <vt:i4>1119</vt:i4>
      </vt:variant>
      <vt:variant>
        <vt:i4>0</vt:i4>
      </vt:variant>
      <vt:variant>
        <vt:i4>5</vt:i4>
      </vt:variant>
      <vt:variant>
        <vt:lpwstr/>
      </vt:variant>
      <vt:variant>
        <vt:lpwstr>_RS.AN-03.01:_The_organization</vt:lpwstr>
      </vt:variant>
      <vt:variant>
        <vt:i4>6750294</vt:i4>
      </vt:variant>
      <vt:variant>
        <vt:i4>1116</vt:i4>
      </vt:variant>
      <vt:variant>
        <vt:i4>0</vt:i4>
      </vt:variant>
      <vt:variant>
        <vt:i4>5</vt:i4>
      </vt:variant>
      <vt:variant>
        <vt:lpwstr/>
      </vt:variant>
      <vt:variant>
        <vt:lpwstr>Threat_intelligence</vt:lpwstr>
      </vt:variant>
      <vt:variant>
        <vt:i4>7864407</vt:i4>
      </vt:variant>
      <vt:variant>
        <vt:i4>1113</vt:i4>
      </vt:variant>
      <vt:variant>
        <vt:i4>0</vt:i4>
      </vt:variant>
      <vt:variant>
        <vt:i4>5</vt:i4>
      </vt:variant>
      <vt:variant>
        <vt:lpwstr/>
      </vt:variant>
      <vt:variant>
        <vt:lpwstr>_ID.IM-04.08:_The_organization</vt:lpwstr>
      </vt:variant>
      <vt:variant>
        <vt:i4>6750294</vt:i4>
      </vt:variant>
      <vt:variant>
        <vt:i4>1095</vt:i4>
      </vt:variant>
      <vt:variant>
        <vt:i4>0</vt:i4>
      </vt:variant>
      <vt:variant>
        <vt:i4>5</vt:i4>
      </vt:variant>
      <vt:variant>
        <vt:lpwstr/>
      </vt:variant>
      <vt:variant>
        <vt:lpwstr>Threat_intelligence</vt:lpwstr>
      </vt:variant>
      <vt:variant>
        <vt:i4>6750294</vt:i4>
      </vt:variant>
      <vt:variant>
        <vt:i4>1092</vt:i4>
      </vt:variant>
      <vt:variant>
        <vt:i4>0</vt:i4>
      </vt:variant>
      <vt:variant>
        <vt:i4>5</vt:i4>
      </vt:variant>
      <vt:variant>
        <vt:lpwstr/>
      </vt:variant>
      <vt:variant>
        <vt:lpwstr>Threat_intelligence</vt:lpwstr>
      </vt:variant>
      <vt:variant>
        <vt:i4>6750294</vt:i4>
      </vt:variant>
      <vt:variant>
        <vt:i4>1089</vt:i4>
      </vt:variant>
      <vt:variant>
        <vt:i4>0</vt:i4>
      </vt:variant>
      <vt:variant>
        <vt:i4>5</vt:i4>
      </vt:variant>
      <vt:variant>
        <vt:lpwstr/>
      </vt:variant>
      <vt:variant>
        <vt:lpwstr>Threat_intelligence</vt:lpwstr>
      </vt:variant>
      <vt:variant>
        <vt:i4>6160486</vt:i4>
      </vt:variant>
      <vt:variant>
        <vt:i4>1086</vt:i4>
      </vt:variant>
      <vt:variant>
        <vt:i4>0</vt:i4>
      </vt:variant>
      <vt:variant>
        <vt:i4>5</vt:i4>
      </vt:variant>
      <vt:variant>
        <vt:lpwstr/>
      </vt:variant>
      <vt:variant>
        <vt:lpwstr>_PR.DS-6.1:_The_organization</vt:lpwstr>
      </vt:variant>
      <vt:variant>
        <vt:i4>458783</vt:i4>
      </vt:variant>
      <vt:variant>
        <vt:i4>1083</vt:i4>
      </vt:variant>
      <vt:variant>
        <vt:i4>0</vt:i4>
      </vt:variant>
      <vt:variant>
        <vt:i4>5</vt:i4>
      </vt:variant>
      <vt:variant>
        <vt:lpwstr/>
      </vt:variant>
      <vt:variant>
        <vt:lpwstr>SDLC</vt:lpwstr>
      </vt:variant>
      <vt:variant>
        <vt:i4>3276828</vt:i4>
      </vt:variant>
      <vt:variant>
        <vt:i4>1080</vt:i4>
      </vt:variant>
      <vt:variant>
        <vt:i4>0</vt:i4>
      </vt:variant>
      <vt:variant>
        <vt:i4>5</vt:i4>
      </vt:variant>
      <vt:variant>
        <vt:lpwstr/>
      </vt:variant>
      <vt:variant>
        <vt:lpwstr>Third_party_service_provider</vt:lpwstr>
      </vt:variant>
      <vt:variant>
        <vt:i4>6291550</vt:i4>
      </vt:variant>
      <vt:variant>
        <vt:i4>1005</vt:i4>
      </vt:variant>
      <vt:variant>
        <vt:i4>0</vt:i4>
      </vt:variant>
      <vt:variant>
        <vt:i4>5</vt:i4>
      </vt:variant>
      <vt:variant>
        <vt:lpwstr/>
      </vt:variant>
      <vt:variant>
        <vt:lpwstr>Risk_assessment</vt:lpwstr>
      </vt:variant>
      <vt:variant>
        <vt:i4>6291542</vt:i4>
      </vt:variant>
      <vt:variant>
        <vt:i4>996</vt:i4>
      </vt:variant>
      <vt:variant>
        <vt:i4>0</vt:i4>
      </vt:variant>
      <vt:variant>
        <vt:i4>5</vt:i4>
      </vt:variant>
      <vt:variant>
        <vt:lpwstr/>
      </vt:variant>
      <vt:variant>
        <vt:lpwstr>Critical_infrastructure</vt:lpwstr>
      </vt:variant>
      <vt:variant>
        <vt:i4>7340139</vt:i4>
      </vt:variant>
      <vt:variant>
        <vt:i4>993</vt:i4>
      </vt:variant>
      <vt:variant>
        <vt:i4>0</vt:i4>
      </vt:variant>
      <vt:variant>
        <vt:i4>5</vt:i4>
      </vt:variant>
      <vt:variant>
        <vt:lpwstr/>
      </vt:variant>
      <vt:variant>
        <vt:lpwstr>KPI</vt:lpwstr>
      </vt:variant>
      <vt:variant>
        <vt:i4>7340139</vt:i4>
      </vt:variant>
      <vt:variant>
        <vt:i4>990</vt:i4>
      </vt:variant>
      <vt:variant>
        <vt:i4>0</vt:i4>
      </vt:variant>
      <vt:variant>
        <vt:i4>5</vt:i4>
      </vt:variant>
      <vt:variant>
        <vt:lpwstr/>
      </vt:variant>
      <vt:variant>
        <vt:lpwstr>KPI</vt:lpwstr>
      </vt:variant>
      <vt:variant>
        <vt:i4>7340139</vt:i4>
      </vt:variant>
      <vt:variant>
        <vt:i4>987</vt:i4>
      </vt:variant>
      <vt:variant>
        <vt:i4>0</vt:i4>
      </vt:variant>
      <vt:variant>
        <vt:i4>5</vt:i4>
      </vt:variant>
      <vt:variant>
        <vt:lpwstr/>
      </vt:variant>
      <vt:variant>
        <vt:lpwstr>KPI</vt:lpwstr>
      </vt:variant>
      <vt:variant>
        <vt:i4>7340139</vt:i4>
      </vt:variant>
      <vt:variant>
        <vt:i4>984</vt:i4>
      </vt:variant>
      <vt:variant>
        <vt:i4>0</vt:i4>
      </vt:variant>
      <vt:variant>
        <vt:i4>5</vt:i4>
      </vt:variant>
      <vt:variant>
        <vt:lpwstr/>
      </vt:variant>
      <vt:variant>
        <vt:lpwstr>KPI</vt:lpwstr>
      </vt:variant>
      <vt:variant>
        <vt:i4>393217</vt:i4>
      </vt:variant>
      <vt:variant>
        <vt:i4>981</vt:i4>
      </vt:variant>
      <vt:variant>
        <vt:i4>0</vt:i4>
      </vt:variant>
      <vt:variant>
        <vt:i4>5</vt:i4>
      </vt:variant>
      <vt:variant>
        <vt:lpwstr/>
      </vt:variant>
      <vt:variant>
        <vt:lpwstr>COBIT</vt:lpwstr>
      </vt:variant>
      <vt:variant>
        <vt:i4>1572864</vt:i4>
      </vt:variant>
      <vt:variant>
        <vt:i4>978</vt:i4>
      </vt:variant>
      <vt:variant>
        <vt:i4>0</vt:i4>
      </vt:variant>
      <vt:variant>
        <vt:i4>5</vt:i4>
      </vt:variant>
      <vt:variant>
        <vt:lpwstr/>
      </vt:variant>
      <vt:variant>
        <vt:lpwstr>ITIL</vt:lpwstr>
      </vt:variant>
      <vt:variant>
        <vt:i4>458783</vt:i4>
      </vt:variant>
      <vt:variant>
        <vt:i4>975</vt:i4>
      </vt:variant>
      <vt:variant>
        <vt:i4>0</vt:i4>
      </vt:variant>
      <vt:variant>
        <vt:i4>5</vt:i4>
      </vt:variant>
      <vt:variant>
        <vt:lpwstr/>
      </vt:variant>
      <vt:variant>
        <vt:lpwstr>SDLC</vt:lpwstr>
      </vt:variant>
      <vt:variant>
        <vt:i4>7733338</vt:i4>
      </vt:variant>
      <vt:variant>
        <vt:i4>972</vt:i4>
      </vt:variant>
      <vt:variant>
        <vt:i4>0</vt:i4>
      </vt:variant>
      <vt:variant>
        <vt:i4>5</vt:i4>
      </vt:variant>
      <vt:variant>
        <vt:lpwstr/>
      </vt:variant>
      <vt:variant>
        <vt:lpwstr>_PR.PS-06.01:_The_organization</vt:lpwstr>
      </vt:variant>
      <vt:variant>
        <vt:i4>458783</vt:i4>
      </vt:variant>
      <vt:variant>
        <vt:i4>969</vt:i4>
      </vt:variant>
      <vt:variant>
        <vt:i4>0</vt:i4>
      </vt:variant>
      <vt:variant>
        <vt:i4>5</vt:i4>
      </vt:variant>
      <vt:variant>
        <vt:lpwstr/>
      </vt:variant>
      <vt:variant>
        <vt:lpwstr>SDLC</vt:lpwstr>
      </vt:variant>
      <vt:variant>
        <vt:i4>458783</vt:i4>
      </vt:variant>
      <vt:variant>
        <vt:i4>966</vt:i4>
      </vt:variant>
      <vt:variant>
        <vt:i4>0</vt:i4>
      </vt:variant>
      <vt:variant>
        <vt:i4>5</vt:i4>
      </vt:variant>
      <vt:variant>
        <vt:lpwstr/>
      </vt:variant>
      <vt:variant>
        <vt:lpwstr>SDLC</vt:lpwstr>
      </vt:variant>
      <vt:variant>
        <vt:i4>458783</vt:i4>
      </vt:variant>
      <vt:variant>
        <vt:i4>963</vt:i4>
      </vt:variant>
      <vt:variant>
        <vt:i4>0</vt:i4>
      </vt:variant>
      <vt:variant>
        <vt:i4>5</vt:i4>
      </vt:variant>
      <vt:variant>
        <vt:lpwstr/>
      </vt:variant>
      <vt:variant>
        <vt:lpwstr>SDLC</vt:lpwstr>
      </vt:variant>
      <vt:variant>
        <vt:i4>3211288</vt:i4>
      </vt:variant>
      <vt:variant>
        <vt:i4>960</vt:i4>
      </vt:variant>
      <vt:variant>
        <vt:i4>0</vt:i4>
      </vt:variant>
      <vt:variant>
        <vt:i4>5</vt:i4>
      </vt:variant>
      <vt:variant>
        <vt:lpwstr/>
      </vt:variant>
      <vt:variant>
        <vt:lpwstr>Cyber_resiliency</vt:lpwstr>
      </vt:variant>
      <vt:variant>
        <vt:i4>852064</vt:i4>
      </vt:variant>
      <vt:variant>
        <vt:i4>957</vt:i4>
      </vt:variant>
      <vt:variant>
        <vt:i4>0</vt:i4>
      </vt:variant>
      <vt:variant>
        <vt:i4>5</vt:i4>
      </vt:variant>
      <vt:variant>
        <vt:lpwstr/>
      </vt:variant>
      <vt:variant>
        <vt:lpwstr>_EX.CN-02.01:_The_organization's</vt:lpwstr>
      </vt:variant>
      <vt:variant>
        <vt:i4>2162701</vt:i4>
      </vt:variant>
      <vt:variant>
        <vt:i4>954</vt:i4>
      </vt:variant>
      <vt:variant>
        <vt:i4>0</vt:i4>
      </vt:variant>
      <vt:variant>
        <vt:i4>5</vt:i4>
      </vt:variant>
      <vt:variant>
        <vt:lpwstr/>
      </vt:variant>
      <vt:variant>
        <vt:lpwstr>Situational_awareness</vt:lpwstr>
      </vt:variant>
      <vt:variant>
        <vt:i4>2162701</vt:i4>
      </vt:variant>
      <vt:variant>
        <vt:i4>951</vt:i4>
      </vt:variant>
      <vt:variant>
        <vt:i4>0</vt:i4>
      </vt:variant>
      <vt:variant>
        <vt:i4>5</vt:i4>
      </vt:variant>
      <vt:variant>
        <vt:lpwstr/>
      </vt:variant>
      <vt:variant>
        <vt:lpwstr>Situational_awareness</vt:lpwstr>
      </vt:variant>
      <vt:variant>
        <vt:i4>2162701</vt:i4>
      </vt:variant>
      <vt:variant>
        <vt:i4>948</vt:i4>
      </vt:variant>
      <vt:variant>
        <vt:i4>0</vt:i4>
      </vt:variant>
      <vt:variant>
        <vt:i4>5</vt:i4>
      </vt:variant>
      <vt:variant>
        <vt:lpwstr/>
      </vt:variant>
      <vt:variant>
        <vt:lpwstr>Situational_awareness</vt:lpwstr>
      </vt:variant>
      <vt:variant>
        <vt:i4>1245310</vt:i4>
      </vt:variant>
      <vt:variant>
        <vt:i4>945</vt:i4>
      </vt:variant>
      <vt:variant>
        <vt:i4>0</vt:i4>
      </vt:variant>
      <vt:variant>
        <vt:i4>5</vt:i4>
      </vt:variant>
      <vt:variant>
        <vt:lpwstr/>
      </vt:variant>
      <vt:variant>
        <vt:lpwstr>_GV.RR-03.01:_The_organization's</vt:lpwstr>
      </vt:variant>
      <vt:variant>
        <vt:i4>6291550</vt:i4>
      </vt:variant>
      <vt:variant>
        <vt:i4>942</vt:i4>
      </vt:variant>
      <vt:variant>
        <vt:i4>0</vt:i4>
      </vt:variant>
      <vt:variant>
        <vt:i4>5</vt:i4>
      </vt:variant>
      <vt:variant>
        <vt:lpwstr/>
      </vt:variant>
      <vt:variant>
        <vt:lpwstr>Risk_assessment</vt:lpwstr>
      </vt:variant>
      <vt:variant>
        <vt:i4>2162701</vt:i4>
      </vt:variant>
      <vt:variant>
        <vt:i4>939</vt:i4>
      </vt:variant>
      <vt:variant>
        <vt:i4>0</vt:i4>
      </vt:variant>
      <vt:variant>
        <vt:i4>5</vt:i4>
      </vt:variant>
      <vt:variant>
        <vt:lpwstr/>
      </vt:variant>
      <vt:variant>
        <vt:lpwstr>Situational_awareness</vt:lpwstr>
      </vt:variant>
      <vt:variant>
        <vt:i4>2162701</vt:i4>
      </vt:variant>
      <vt:variant>
        <vt:i4>936</vt:i4>
      </vt:variant>
      <vt:variant>
        <vt:i4>0</vt:i4>
      </vt:variant>
      <vt:variant>
        <vt:i4>5</vt:i4>
      </vt:variant>
      <vt:variant>
        <vt:lpwstr/>
      </vt:variant>
      <vt:variant>
        <vt:lpwstr>Situational_awareness</vt:lpwstr>
      </vt:variant>
      <vt:variant>
        <vt:i4>1376297</vt:i4>
      </vt:variant>
      <vt:variant>
        <vt:i4>933</vt:i4>
      </vt:variant>
      <vt:variant>
        <vt:i4>0</vt:i4>
      </vt:variant>
      <vt:variant>
        <vt:i4>5</vt:i4>
      </vt:variant>
      <vt:variant>
        <vt:lpwstr/>
      </vt:variant>
      <vt:variant>
        <vt:lpwstr>_PR.AT-01.03:_Cybersecurity_awarenes</vt:lpwstr>
      </vt:variant>
      <vt:variant>
        <vt:i4>2424950</vt:i4>
      </vt:variant>
      <vt:variant>
        <vt:i4>930</vt:i4>
      </vt:variant>
      <vt:variant>
        <vt:i4>0</vt:i4>
      </vt:variant>
      <vt:variant>
        <vt:i4>5</vt:i4>
      </vt:variant>
      <vt:variant>
        <vt:lpwstr/>
      </vt:variant>
      <vt:variant>
        <vt:lpwstr>_PR.AT-01.02:_Cybersecurity_awarenes_1</vt:lpwstr>
      </vt:variant>
      <vt:variant>
        <vt:i4>8126558</vt:i4>
      </vt:variant>
      <vt:variant>
        <vt:i4>918</vt:i4>
      </vt:variant>
      <vt:variant>
        <vt:i4>0</vt:i4>
      </vt:variant>
      <vt:variant>
        <vt:i4>5</vt:i4>
      </vt:variant>
      <vt:variant>
        <vt:lpwstr/>
      </vt:variant>
      <vt:variant>
        <vt:lpwstr>_DE.CM-06.01:_The_organization</vt:lpwstr>
      </vt:variant>
      <vt:variant>
        <vt:i4>4587628</vt:i4>
      </vt:variant>
      <vt:variant>
        <vt:i4>915</vt:i4>
      </vt:variant>
      <vt:variant>
        <vt:i4>0</vt:i4>
      </vt:variant>
      <vt:variant>
        <vt:i4>5</vt:i4>
      </vt:variant>
      <vt:variant>
        <vt:lpwstr/>
      </vt:variant>
      <vt:variant>
        <vt:lpwstr>Least_privilege</vt:lpwstr>
      </vt:variant>
      <vt:variant>
        <vt:i4>8126558</vt:i4>
      </vt:variant>
      <vt:variant>
        <vt:i4>912</vt:i4>
      </vt:variant>
      <vt:variant>
        <vt:i4>0</vt:i4>
      </vt:variant>
      <vt:variant>
        <vt:i4>5</vt:i4>
      </vt:variant>
      <vt:variant>
        <vt:lpwstr/>
      </vt:variant>
      <vt:variant>
        <vt:lpwstr>_DE.CM-06.01:_The_organization</vt:lpwstr>
      </vt:variant>
      <vt:variant>
        <vt:i4>4128810</vt:i4>
      </vt:variant>
      <vt:variant>
        <vt:i4>909</vt:i4>
      </vt:variant>
      <vt:variant>
        <vt:i4>0</vt:i4>
      </vt:variant>
      <vt:variant>
        <vt:i4>5</vt:i4>
      </vt:variant>
      <vt:variant>
        <vt:lpwstr/>
      </vt:variant>
      <vt:variant>
        <vt:lpwstr>Risk_assessment_2</vt:lpwstr>
      </vt:variant>
      <vt:variant>
        <vt:i4>4325435</vt:i4>
      </vt:variant>
      <vt:variant>
        <vt:i4>903</vt:i4>
      </vt:variant>
      <vt:variant>
        <vt:i4>0</vt:i4>
      </vt:variant>
      <vt:variant>
        <vt:i4>5</vt:i4>
      </vt:variant>
      <vt:variant>
        <vt:lpwstr>https://eyus.sharepoint.com/sites/EYCRICollaboration-EYWorking/Shared Documents/Internal - EY Working/Execution/Profile Workbook/CRI Profile Workbook - version 1-2-1 Jan-2023.docx</vt:lpwstr>
      </vt:variant>
      <vt:variant>
        <vt:lpwstr>Risk_assessment</vt:lpwstr>
      </vt:variant>
      <vt:variant>
        <vt:i4>8257654</vt:i4>
      </vt:variant>
      <vt:variant>
        <vt:i4>897</vt:i4>
      </vt:variant>
      <vt:variant>
        <vt:i4>0</vt:i4>
      </vt:variant>
      <vt:variant>
        <vt:i4>5</vt:i4>
      </vt:variant>
      <vt:variant>
        <vt:lpwstr/>
      </vt:variant>
      <vt:variant>
        <vt:lpwstr>Recovery_point_obj</vt:lpwstr>
      </vt:variant>
      <vt:variant>
        <vt:i4>3211288</vt:i4>
      </vt:variant>
      <vt:variant>
        <vt:i4>894</vt:i4>
      </vt:variant>
      <vt:variant>
        <vt:i4>0</vt:i4>
      </vt:variant>
      <vt:variant>
        <vt:i4>5</vt:i4>
      </vt:variant>
      <vt:variant>
        <vt:lpwstr/>
      </vt:variant>
      <vt:variant>
        <vt:lpwstr>Cyber_resiliency</vt:lpwstr>
      </vt:variant>
      <vt:variant>
        <vt:i4>5832817</vt:i4>
      </vt:variant>
      <vt:variant>
        <vt:i4>891</vt:i4>
      </vt:variant>
      <vt:variant>
        <vt:i4>0</vt:i4>
      </vt:variant>
      <vt:variant>
        <vt:i4>5</vt:i4>
      </vt:variant>
      <vt:variant>
        <vt:lpwstr/>
      </vt:variant>
      <vt:variant>
        <vt:lpwstr>_PR.IP-1.2:_Established_policies,</vt:lpwstr>
      </vt:variant>
      <vt:variant>
        <vt:i4>3211288</vt:i4>
      </vt:variant>
      <vt:variant>
        <vt:i4>888</vt:i4>
      </vt:variant>
      <vt:variant>
        <vt:i4>0</vt:i4>
      </vt:variant>
      <vt:variant>
        <vt:i4>5</vt:i4>
      </vt:variant>
      <vt:variant>
        <vt:lpwstr/>
      </vt:variant>
      <vt:variant>
        <vt:lpwstr>Cyber_resiliency</vt:lpwstr>
      </vt:variant>
      <vt:variant>
        <vt:i4>6488171</vt:i4>
      </vt:variant>
      <vt:variant>
        <vt:i4>882</vt:i4>
      </vt:variant>
      <vt:variant>
        <vt:i4>0</vt:i4>
      </vt:variant>
      <vt:variant>
        <vt:i4>5</vt:i4>
      </vt:variant>
      <vt:variant>
        <vt:lpwstr/>
      </vt:variant>
      <vt:variant>
        <vt:lpwstr>KCI</vt:lpwstr>
      </vt:variant>
      <vt:variant>
        <vt:i4>7471211</vt:i4>
      </vt:variant>
      <vt:variant>
        <vt:i4>879</vt:i4>
      </vt:variant>
      <vt:variant>
        <vt:i4>0</vt:i4>
      </vt:variant>
      <vt:variant>
        <vt:i4>5</vt:i4>
      </vt:variant>
      <vt:variant>
        <vt:lpwstr/>
      </vt:variant>
      <vt:variant>
        <vt:lpwstr>KRI</vt:lpwstr>
      </vt:variant>
      <vt:variant>
        <vt:i4>7471211</vt:i4>
      </vt:variant>
      <vt:variant>
        <vt:i4>876</vt:i4>
      </vt:variant>
      <vt:variant>
        <vt:i4>0</vt:i4>
      </vt:variant>
      <vt:variant>
        <vt:i4>5</vt:i4>
      </vt:variant>
      <vt:variant>
        <vt:lpwstr/>
      </vt:variant>
      <vt:variant>
        <vt:lpwstr>KRI</vt:lpwstr>
      </vt:variant>
      <vt:variant>
        <vt:i4>7340139</vt:i4>
      </vt:variant>
      <vt:variant>
        <vt:i4>873</vt:i4>
      </vt:variant>
      <vt:variant>
        <vt:i4>0</vt:i4>
      </vt:variant>
      <vt:variant>
        <vt:i4>5</vt:i4>
      </vt:variant>
      <vt:variant>
        <vt:lpwstr/>
      </vt:variant>
      <vt:variant>
        <vt:lpwstr>KPI</vt:lpwstr>
      </vt:variant>
      <vt:variant>
        <vt:i4>7471211</vt:i4>
      </vt:variant>
      <vt:variant>
        <vt:i4>870</vt:i4>
      </vt:variant>
      <vt:variant>
        <vt:i4>0</vt:i4>
      </vt:variant>
      <vt:variant>
        <vt:i4>5</vt:i4>
      </vt:variant>
      <vt:variant>
        <vt:lpwstr/>
      </vt:variant>
      <vt:variant>
        <vt:lpwstr>KRI</vt:lpwstr>
      </vt:variant>
      <vt:variant>
        <vt:i4>7340139</vt:i4>
      </vt:variant>
      <vt:variant>
        <vt:i4>867</vt:i4>
      </vt:variant>
      <vt:variant>
        <vt:i4>0</vt:i4>
      </vt:variant>
      <vt:variant>
        <vt:i4>5</vt:i4>
      </vt:variant>
      <vt:variant>
        <vt:lpwstr/>
      </vt:variant>
      <vt:variant>
        <vt:lpwstr>KPI</vt:lpwstr>
      </vt:variant>
      <vt:variant>
        <vt:i4>6488171</vt:i4>
      </vt:variant>
      <vt:variant>
        <vt:i4>864</vt:i4>
      </vt:variant>
      <vt:variant>
        <vt:i4>0</vt:i4>
      </vt:variant>
      <vt:variant>
        <vt:i4>5</vt:i4>
      </vt:variant>
      <vt:variant>
        <vt:lpwstr/>
      </vt:variant>
      <vt:variant>
        <vt:lpwstr>KCI</vt:lpwstr>
      </vt:variant>
      <vt:variant>
        <vt:i4>7471211</vt:i4>
      </vt:variant>
      <vt:variant>
        <vt:i4>861</vt:i4>
      </vt:variant>
      <vt:variant>
        <vt:i4>0</vt:i4>
      </vt:variant>
      <vt:variant>
        <vt:i4>5</vt:i4>
      </vt:variant>
      <vt:variant>
        <vt:lpwstr/>
      </vt:variant>
      <vt:variant>
        <vt:lpwstr>KRI</vt:lpwstr>
      </vt:variant>
      <vt:variant>
        <vt:i4>7340139</vt:i4>
      </vt:variant>
      <vt:variant>
        <vt:i4>858</vt:i4>
      </vt:variant>
      <vt:variant>
        <vt:i4>0</vt:i4>
      </vt:variant>
      <vt:variant>
        <vt:i4>5</vt:i4>
      </vt:variant>
      <vt:variant>
        <vt:lpwstr/>
      </vt:variant>
      <vt:variant>
        <vt:lpwstr>KPI</vt:lpwstr>
      </vt:variant>
      <vt:variant>
        <vt:i4>6488171</vt:i4>
      </vt:variant>
      <vt:variant>
        <vt:i4>855</vt:i4>
      </vt:variant>
      <vt:variant>
        <vt:i4>0</vt:i4>
      </vt:variant>
      <vt:variant>
        <vt:i4>5</vt:i4>
      </vt:variant>
      <vt:variant>
        <vt:lpwstr/>
      </vt:variant>
      <vt:variant>
        <vt:lpwstr>KCI</vt:lpwstr>
      </vt:variant>
      <vt:variant>
        <vt:i4>7471211</vt:i4>
      </vt:variant>
      <vt:variant>
        <vt:i4>852</vt:i4>
      </vt:variant>
      <vt:variant>
        <vt:i4>0</vt:i4>
      </vt:variant>
      <vt:variant>
        <vt:i4>5</vt:i4>
      </vt:variant>
      <vt:variant>
        <vt:lpwstr/>
      </vt:variant>
      <vt:variant>
        <vt:lpwstr>KRI</vt:lpwstr>
      </vt:variant>
      <vt:variant>
        <vt:i4>7340139</vt:i4>
      </vt:variant>
      <vt:variant>
        <vt:i4>849</vt:i4>
      </vt:variant>
      <vt:variant>
        <vt:i4>0</vt:i4>
      </vt:variant>
      <vt:variant>
        <vt:i4>5</vt:i4>
      </vt:variant>
      <vt:variant>
        <vt:lpwstr/>
      </vt:variant>
      <vt:variant>
        <vt:lpwstr>KPI</vt:lpwstr>
      </vt:variant>
      <vt:variant>
        <vt:i4>6488171</vt:i4>
      </vt:variant>
      <vt:variant>
        <vt:i4>846</vt:i4>
      </vt:variant>
      <vt:variant>
        <vt:i4>0</vt:i4>
      </vt:variant>
      <vt:variant>
        <vt:i4>5</vt:i4>
      </vt:variant>
      <vt:variant>
        <vt:lpwstr/>
      </vt:variant>
      <vt:variant>
        <vt:lpwstr>KCI</vt:lpwstr>
      </vt:variant>
      <vt:variant>
        <vt:i4>7471211</vt:i4>
      </vt:variant>
      <vt:variant>
        <vt:i4>843</vt:i4>
      </vt:variant>
      <vt:variant>
        <vt:i4>0</vt:i4>
      </vt:variant>
      <vt:variant>
        <vt:i4>5</vt:i4>
      </vt:variant>
      <vt:variant>
        <vt:lpwstr/>
      </vt:variant>
      <vt:variant>
        <vt:lpwstr>KRI</vt:lpwstr>
      </vt:variant>
      <vt:variant>
        <vt:i4>7340139</vt:i4>
      </vt:variant>
      <vt:variant>
        <vt:i4>840</vt:i4>
      </vt:variant>
      <vt:variant>
        <vt:i4>0</vt:i4>
      </vt:variant>
      <vt:variant>
        <vt:i4>5</vt:i4>
      </vt:variant>
      <vt:variant>
        <vt:lpwstr/>
      </vt:variant>
      <vt:variant>
        <vt:lpwstr>KPI</vt:lpwstr>
      </vt:variant>
      <vt:variant>
        <vt:i4>6488171</vt:i4>
      </vt:variant>
      <vt:variant>
        <vt:i4>837</vt:i4>
      </vt:variant>
      <vt:variant>
        <vt:i4>0</vt:i4>
      </vt:variant>
      <vt:variant>
        <vt:i4>5</vt:i4>
      </vt:variant>
      <vt:variant>
        <vt:lpwstr/>
      </vt:variant>
      <vt:variant>
        <vt:lpwstr>KCI</vt:lpwstr>
      </vt:variant>
      <vt:variant>
        <vt:i4>7471211</vt:i4>
      </vt:variant>
      <vt:variant>
        <vt:i4>834</vt:i4>
      </vt:variant>
      <vt:variant>
        <vt:i4>0</vt:i4>
      </vt:variant>
      <vt:variant>
        <vt:i4>5</vt:i4>
      </vt:variant>
      <vt:variant>
        <vt:lpwstr/>
      </vt:variant>
      <vt:variant>
        <vt:lpwstr>KRI</vt:lpwstr>
      </vt:variant>
      <vt:variant>
        <vt:i4>7340139</vt:i4>
      </vt:variant>
      <vt:variant>
        <vt:i4>831</vt:i4>
      </vt:variant>
      <vt:variant>
        <vt:i4>0</vt:i4>
      </vt:variant>
      <vt:variant>
        <vt:i4>5</vt:i4>
      </vt:variant>
      <vt:variant>
        <vt:lpwstr/>
      </vt:variant>
      <vt:variant>
        <vt:lpwstr>KPI</vt:lpwstr>
      </vt:variant>
      <vt:variant>
        <vt:i4>6488171</vt:i4>
      </vt:variant>
      <vt:variant>
        <vt:i4>828</vt:i4>
      </vt:variant>
      <vt:variant>
        <vt:i4>0</vt:i4>
      </vt:variant>
      <vt:variant>
        <vt:i4>5</vt:i4>
      </vt:variant>
      <vt:variant>
        <vt:lpwstr/>
      </vt:variant>
      <vt:variant>
        <vt:lpwstr>KCI</vt:lpwstr>
      </vt:variant>
      <vt:variant>
        <vt:i4>8257654</vt:i4>
      </vt:variant>
      <vt:variant>
        <vt:i4>825</vt:i4>
      </vt:variant>
      <vt:variant>
        <vt:i4>0</vt:i4>
      </vt:variant>
      <vt:variant>
        <vt:i4>5</vt:i4>
      </vt:variant>
      <vt:variant>
        <vt:lpwstr/>
      </vt:variant>
      <vt:variant>
        <vt:lpwstr>Recovery_point_obj</vt:lpwstr>
      </vt:variant>
      <vt:variant>
        <vt:i4>3276841</vt:i4>
      </vt:variant>
      <vt:variant>
        <vt:i4>822</vt:i4>
      </vt:variant>
      <vt:variant>
        <vt:i4>0</vt:i4>
      </vt:variant>
      <vt:variant>
        <vt:i4>5</vt:i4>
      </vt:variant>
      <vt:variant>
        <vt:lpwstr/>
      </vt:variant>
      <vt:variant>
        <vt:lpwstr>Recovery_time_obj</vt:lpwstr>
      </vt:variant>
      <vt:variant>
        <vt:i4>3211288</vt:i4>
      </vt:variant>
      <vt:variant>
        <vt:i4>819</vt:i4>
      </vt:variant>
      <vt:variant>
        <vt:i4>0</vt:i4>
      </vt:variant>
      <vt:variant>
        <vt:i4>5</vt:i4>
      </vt:variant>
      <vt:variant>
        <vt:lpwstr/>
      </vt:variant>
      <vt:variant>
        <vt:lpwstr>Cyber_resiliency</vt:lpwstr>
      </vt:variant>
      <vt:variant>
        <vt:i4>6881353</vt:i4>
      </vt:variant>
      <vt:variant>
        <vt:i4>816</vt:i4>
      </vt:variant>
      <vt:variant>
        <vt:i4>0</vt:i4>
      </vt:variant>
      <vt:variant>
        <vt:i4>5</vt:i4>
      </vt:variant>
      <vt:variant>
        <vt:lpwstr/>
      </vt:variant>
      <vt:variant>
        <vt:lpwstr>Threat_analysis</vt:lpwstr>
      </vt:variant>
      <vt:variant>
        <vt:i4>6291550</vt:i4>
      </vt:variant>
      <vt:variant>
        <vt:i4>810</vt:i4>
      </vt:variant>
      <vt:variant>
        <vt:i4>0</vt:i4>
      </vt:variant>
      <vt:variant>
        <vt:i4>5</vt:i4>
      </vt:variant>
      <vt:variant>
        <vt:lpwstr/>
      </vt:variant>
      <vt:variant>
        <vt:lpwstr>Risk_assessment</vt:lpwstr>
      </vt:variant>
      <vt:variant>
        <vt:i4>6750294</vt:i4>
      </vt:variant>
      <vt:variant>
        <vt:i4>801</vt:i4>
      </vt:variant>
      <vt:variant>
        <vt:i4>0</vt:i4>
      </vt:variant>
      <vt:variant>
        <vt:i4>5</vt:i4>
      </vt:variant>
      <vt:variant>
        <vt:lpwstr/>
      </vt:variant>
      <vt:variant>
        <vt:lpwstr>Threat_intelligence</vt:lpwstr>
      </vt:variant>
      <vt:variant>
        <vt:i4>6881353</vt:i4>
      </vt:variant>
      <vt:variant>
        <vt:i4>798</vt:i4>
      </vt:variant>
      <vt:variant>
        <vt:i4>0</vt:i4>
      </vt:variant>
      <vt:variant>
        <vt:i4>5</vt:i4>
      </vt:variant>
      <vt:variant>
        <vt:lpwstr/>
      </vt:variant>
      <vt:variant>
        <vt:lpwstr>Threat_analysis</vt:lpwstr>
      </vt:variant>
      <vt:variant>
        <vt:i4>6881353</vt:i4>
      </vt:variant>
      <vt:variant>
        <vt:i4>795</vt:i4>
      </vt:variant>
      <vt:variant>
        <vt:i4>0</vt:i4>
      </vt:variant>
      <vt:variant>
        <vt:i4>5</vt:i4>
      </vt:variant>
      <vt:variant>
        <vt:lpwstr/>
      </vt:variant>
      <vt:variant>
        <vt:lpwstr>Threat_analysis</vt:lpwstr>
      </vt:variant>
      <vt:variant>
        <vt:i4>8192075</vt:i4>
      </vt:variant>
      <vt:variant>
        <vt:i4>792</vt:i4>
      </vt:variant>
      <vt:variant>
        <vt:i4>0</vt:i4>
      </vt:variant>
      <vt:variant>
        <vt:i4>5</vt:i4>
      </vt:variant>
      <vt:variant>
        <vt:lpwstr/>
      </vt:variant>
      <vt:variant>
        <vt:lpwstr>_ID.RA-03.01:_The_organization,</vt:lpwstr>
      </vt:variant>
      <vt:variant>
        <vt:i4>6881353</vt:i4>
      </vt:variant>
      <vt:variant>
        <vt:i4>789</vt:i4>
      </vt:variant>
      <vt:variant>
        <vt:i4>0</vt:i4>
      </vt:variant>
      <vt:variant>
        <vt:i4>5</vt:i4>
      </vt:variant>
      <vt:variant>
        <vt:lpwstr/>
      </vt:variant>
      <vt:variant>
        <vt:lpwstr>Threat_analysis</vt:lpwstr>
      </vt:variant>
      <vt:variant>
        <vt:i4>6750294</vt:i4>
      </vt:variant>
      <vt:variant>
        <vt:i4>786</vt:i4>
      </vt:variant>
      <vt:variant>
        <vt:i4>0</vt:i4>
      </vt:variant>
      <vt:variant>
        <vt:i4>5</vt:i4>
      </vt:variant>
      <vt:variant>
        <vt:lpwstr/>
      </vt:variant>
      <vt:variant>
        <vt:lpwstr>Threat_intelligence</vt:lpwstr>
      </vt:variant>
      <vt:variant>
        <vt:i4>2162701</vt:i4>
      </vt:variant>
      <vt:variant>
        <vt:i4>783</vt:i4>
      </vt:variant>
      <vt:variant>
        <vt:i4>0</vt:i4>
      </vt:variant>
      <vt:variant>
        <vt:i4>5</vt:i4>
      </vt:variant>
      <vt:variant>
        <vt:lpwstr/>
      </vt:variant>
      <vt:variant>
        <vt:lpwstr>Situational_awareness</vt:lpwstr>
      </vt:variant>
      <vt:variant>
        <vt:i4>6750294</vt:i4>
      </vt:variant>
      <vt:variant>
        <vt:i4>780</vt:i4>
      </vt:variant>
      <vt:variant>
        <vt:i4>0</vt:i4>
      </vt:variant>
      <vt:variant>
        <vt:i4>5</vt:i4>
      </vt:variant>
      <vt:variant>
        <vt:lpwstr/>
      </vt:variant>
      <vt:variant>
        <vt:lpwstr>Threat_intelligence</vt:lpwstr>
      </vt:variant>
      <vt:variant>
        <vt:i4>6881353</vt:i4>
      </vt:variant>
      <vt:variant>
        <vt:i4>777</vt:i4>
      </vt:variant>
      <vt:variant>
        <vt:i4>0</vt:i4>
      </vt:variant>
      <vt:variant>
        <vt:i4>5</vt:i4>
      </vt:variant>
      <vt:variant>
        <vt:lpwstr/>
      </vt:variant>
      <vt:variant>
        <vt:lpwstr>Threat_analysis</vt:lpwstr>
      </vt:variant>
      <vt:variant>
        <vt:i4>3211288</vt:i4>
      </vt:variant>
      <vt:variant>
        <vt:i4>774</vt:i4>
      </vt:variant>
      <vt:variant>
        <vt:i4>0</vt:i4>
      </vt:variant>
      <vt:variant>
        <vt:i4>5</vt:i4>
      </vt:variant>
      <vt:variant>
        <vt:lpwstr/>
      </vt:variant>
      <vt:variant>
        <vt:lpwstr>Cyber_resiliency</vt:lpwstr>
      </vt:variant>
      <vt:variant>
        <vt:i4>3801108</vt:i4>
      </vt:variant>
      <vt:variant>
        <vt:i4>771</vt:i4>
      </vt:variant>
      <vt:variant>
        <vt:i4>0</vt:i4>
      </vt:variant>
      <vt:variant>
        <vt:i4>5</vt:i4>
      </vt:variant>
      <vt:variant>
        <vt:lpwstr/>
      </vt:variant>
      <vt:variant>
        <vt:lpwstr>Cyber_threat</vt:lpwstr>
      </vt:variant>
      <vt:variant>
        <vt:i4>2162701</vt:i4>
      </vt:variant>
      <vt:variant>
        <vt:i4>768</vt:i4>
      </vt:variant>
      <vt:variant>
        <vt:i4>0</vt:i4>
      </vt:variant>
      <vt:variant>
        <vt:i4>5</vt:i4>
      </vt:variant>
      <vt:variant>
        <vt:lpwstr/>
      </vt:variant>
      <vt:variant>
        <vt:lpwstr>Situational_awareness</vt:lpwstr>
      </vt:variant>
      <vt:variant>
        <vt:i4>7340139</vt:i4>
      </vt:variant>
      <vt:variant>
        <vt:i4>759</vt:i4>
      </vt:variant>
      <vt:variant>
        <vt:i4>0</vt:i4>
      </vt:variant>
      <vt:variant>
        <vt:i4>5</vt:i4>
      </vt:variant>
      <vt:variant>
        <vt:lpwstr/>
      </vt:variant>
      <vt:variant>
        <vt:lpwstr>KPI</vt:lpwstr>
      </vt:variant>
      <vt:variant>
        <vt:i4>7471211</vt:i4>
      </vt:variant>
      <vt:variant>
        <vt:i4>756</vt:i4>
      </vt:variant>
      <vt:variant>
        <vt:i4>0</vt:i4>
      </vt:variant>
      <vt:variant>
        <vt:i4>5</vt:i4>
      </vt:variant>
      <vt:variant>
        <vt:lpwstr/>
      </vt:variant>
      <vt:variant>
        <vt:lpwstr>KRI</vt:lpwstr>
      </vt:variant>
      <vt:variant>
        <vt:i4>4456568</vt:i4>
      </vt:variant>
      <vt:variant>
        <vt:i4>753</vt:i4>
      </vt:variant>
      <vt:variant>
        <vt:i4>0</vt:i4>
      </vt:variant>
      <vt:variant>
        <vt:i4>5</vt:i4>
      </vt:variant>
      <vt:variant>
        <vt:lpwstr/>
      </vt:variant>
      <vt:variant>
        <vt:lpwstr>Asset_inventory</vt:lpwstr>
      </vt:variant>
      <vt:variant>
        <vt:i4>7864336</vt:i4>
      </vt:variant>
      <vt:variant>
        <vt:i4>747</vt:i4>
      </vt:variant>
      <vt:variant>
        <vt:i4>0</vt:i4>
      </vt:variant>
      <vt:variant>
        <vt:i4>5</vt:i4>
      </vt:variant>
      <vt:variant>
        <vt:lpwstr>https://eyus.sharepoint.com/sites/EYCRICollaboration-EYWorking/Shared Documents/Internal - EY Working/Execution/Profile Workbook/CRI Profile Workbook - version 1-2-1 Jan-2023.docx</vt:lpwstr>
      </vt:variant>
      <vt:variant>
        <vt:lpwstr>_ID.AM-5.1:_The_organization</vt:lpwstr>
      </vt:variant>
      <vt:variant>
        <vt:i4>4456568</vt:i4>
      </vt:variant>
      <vt:variant>
        <vt:i4>726</vt:i4>
      </vt:variant>
      <vt:variant>
        <vt:i4>0</vt:i4>
      </vt:variant>
      <vt:variant>
        <vt:i4>5</vt:i4>
      </vt:variant>
      <vt:variant>
        <vt:lpwstr/>
      </vt:variant>
      <vt:variant>
        <vt:lpwstr>Asset_inventory</vt:lpwstr>
      </vt:variant>
      <vt:variant>
        <vt:i4>7340139</vt:i4>
      </vt:variant>
      <vt:variant>
        <vt:i4>717</vt:i4>
      </vt:variant>
      <vt:variant>
        <vt:i4>0</vt:i4>
      </vt:variant>
      <vt:variant>
        <vt:i4>5</vt:i4>
      </vt:variant>
      <vt:variant>
        <vt:lpwstr/>
      </vt:variant>
      <vt:variant>
        <vt:lpwstr>KPI</vt:lpwstr>
      </vt:variant>
      <vt:variant>
        <vt:i4>7471211</vt:i4>
      </vt:variant>
      <vt:variant>
        <vt:i4>714</vt:i4>
      </vt:variant>
      <vt:variant>
        <vt:i4>0</vt:i4>
      </vt:variant>
      <vt:variant>
        <vt:i4>5</vt:i4>
      </vt:variant>
      <vt:variant>
        <vt:lpwstr/>
      </vt:variant>
      <vt:variant>
        <vt:lpwstr>KRI</vt:lpwstr>
      </vt:variant>
      <vt:variant>
        <vt:i4>7405658</vt:i4>
      </vt:variant>
      <vt:variant>
        <vt:i4>711</vt:i4>
      </vt:variant>
      <vt:variant>
        <vt:i4>0</vt:i4>
      </vt:variant>
      <vt:variant>
        <vt:i4>5</vt:i4>
      </vt:variant>
      <vt:variant>
        <vt:lpwstr/>
      </vt:variant>
      <vt:variant>
        <vt:lpwstr>_ID.AM-01.01:_The_organization</vt:lpwstr>
      </vt:variant>
      <vt:variant>
        <vt:i4>4456568</vt:i4>
      </vt:variant>
      <vt:variant>
        <vt:i4>708</vt:i4>
      </vt:variant>
      <vt:variant>
        <vt:i4>0</vt:i4>
      </vt:variant>
      <vt:variant>
        <vt:i4>5</vt:i4>
      </vt:variant>
      <vt:variant>
        <vt:lpwstr/>
      </vt:variant>
      <vt:variant>
        <vt:lpwstr>Asset_inventory</vt:lpwstr>
      </vt:variant>
      <vt:variant>
        <vt:i4>7340139</vt:i4>
      </vt:variant>
      <vt:variant>
        <vt:i4>705</vt:i4>
      </vt:variant>
      <vt:variant>
        <vt:i4>0</vt:i4>
      </vt:variant>
      <vt:variant>
        <vt:i4>5</vt:i4>
      </vt:variant>
      <vt:variant>
        <vt:lpwstr/>
      </vt:variant>
      <vt:variant>
        <vt:lpwstr>KPI</vt:lpwstr>
      </vt:variant>
      <vt:variant>
        <vt:i4>7471211</vt:i4>
      </vt:variant>
      <vt:variant>
        <vt:i4>702</vt:i4>
      </vt:variant>
      <vt:variant>
        <vt:i4>0</vt:i4>
      </vt:variant>
      <vt:variant>
        <vt:i4>5</vt:i4>
      </vt:variant>
      <vt:variant>
        <vt:lpwstr/>
      </vt:variant>
      <vt:variant>
        <vt:lpwstr>KRI</vt:lpwstr>
      </vt:variant>
      <vt:variant>
        <vt:i4>4456568</vt:i4>
      </vt:variant>
      <vt:variant>
        <vt:i4>699</vt:i4>
      </vt:variant>
      <vt:variant>
        <vt:i4>0</vt:i4>
      </vt:variant>
      <vt:variant>
        <vt:i4>5</vt:i4>
      </vt:variant>
      <vt:variant>
        <vt:lpwstr/>
      </vt:variant>
      <vt:variant>
        <vt:lpwstr>Asset_inventory</vt:lpwstr>
      </vt:variant>
      <vt:variant>
        <vt:i4>6291550</vt:i4>
      </vt:variant>
      <vt:variant>
        <vt:i4>696</vt:i4>
      </vt:variant>
      <vt:variant>
        <vt:i4>0</vt:i4>
      </vt:variant>
      <vt:variant>
        <vt:i4>5</vt:i4>
      </vt:variant>
      <vt:variant>
        <vt:lpwstr/>
      </vt:variant>
      <vt:variant>
        <vt:lpwstr>Risk_assessment</vt:lpwstr>
      </vt:variant>
      <vt:variant>
        <vt:i4>1835013</vt:i4>
      </vt:variant>
      <vt:variant>
        <vt:i4>693</vt:i4>
      </vt:variant>
      <vt:variant>
        <vt:i4>0</vt:i4>
      </vt:variant>
      <vt:variant>
        <vt:i4>5</vt:i4>
      </vt:variant>
      <vt:variant>
        <vt:lpwstr/>
      </vt:variant>
      <vt:variant>
        <vt:lpwstr>Audit</vt:lpwstr>
      </vt:variant>
      <vt:variant>
        <vt:i4>1835013</vt:i4>
      </vt:variant>
      <vt:variant>
        <vt:i4>690</vt:i4>
      </vt:variant>
      <vt:variant>
        <vt:i4>0</vt:i4>
      </vt:variant>
      <vt:variant>
        <vt:i4>5</vt:i4>
      </vt:variant>
      <vt:variant>
        <vt:lpwstr/>
      </vt:variant>
      <vt:variant>
        <vt:lpwstr>Audit</vt:lpwstr>
      </vt:variant>
      <vt:variant>
        <vt:i4>1835013</vt:i4>
      </vt:variant>
      <vt:variant>
        <vt:i4>687</vt:i4>
      </vt:variant>
      <vt:variant>
        <vt:i4>0</vt:i4>
      </vt:variant>
      <vt:variant>
        <vt:i4>5</vt:i4>
      </vt:variant>
      <vt:variant>
        <vt:lpwstr/>
      </vt:variant>
      <vt:variant>
        <vt:lpwstr>Audit</vt:lpwstr>
      </vt:variant>
      <vt:variant>
        <vt:i4>1835013</vt:i4>
      </vt:variant>
      <vt:variant>
        <vt:i4>684</vt:i4>
      </vt:variant>
      <vt:variant>
        <vt:i4>0</vt:i4>
      </vt:variant>
      <vt:variant>
        <vt:i4>5</vt:i4>
      </vt:variant>
      <vt:variant>
        <vt:lpwstr/>
      </vt:variant>
      <vt:variant>
        <vt:lpwstr>Audit</vt:lpwstr>
      </vt:variant>
      <vt:variant>
        <vt:i4>6488150</vt:i4>
      </vt:variant>
      <vt:variant>
        <vt:i4>681</vt:i4>
      </vt:variant>
      <vt:variant>
        <vt:i4>0</vt:i4>
      </vt:variant>
      <vt:variant>
        <vt:i4>5</vt:i4>
      </vt:variant>
      <vt:variant>
        <vt:lpwstr/>
      </vt:variant>
      <vt:variant>
        <vt:lpwstr>Risk_tolerance</vt:lpwstr>
      </vt:variant>
      <vt:variant>
        <vt:i4>7471170</vt:i4>
      </vt:variant>
      <vt:variant>
        <vt:i4>678</vt:i4>
      </vt:variant>
      <vt:variant>
        <vt:i4>0</vt:i4>
      </vt:variant>
      <vt:variant>
        <vt:i4>5</vt:i4>
      </vt:variant>
      <vt:variant>
        <vt:lpwstr/>
      </vt:variant>
      <vt:variant>
        <vt:lpwstr>Risk_acceptance</vt:lpwstr>
      </vt:variant>
      <vt:variant>
        <vt:i4>1245218</vt:i4>
      </vt:variant>
      <vt:variant>
        <vt:i4>675</vt:i4>
      </vt:variant>
      <vt:variant>
        <vt:i4>0</vt:i4>
      </vt:variant>
      <vt:variant>
        <vt:i4>5</vt:i4>
      </vt:variant>
      <vt:variant>
        <vt:lpwstr/>
      </vt:variant>
      <vt:variant>
        <vt:lpwstr>Risk_appetite</vt:lpwstr>
      </vt:variant>
      <vt:variant>
        <vt:i4>6291550</vt:i4>
      </vt:variant>
      <vt:variant>
        <vt:i4>672</vt:i4>
      </vt:variant>
      <vt:variant>
        <vt:i4>0</vt:i4>
      </vt:variant>
      <vt:variant>
        <vt:i4>5</vt:i4>
      </vt:variant>
      <vt:variant>
        <vt:lpwstr/>
      </vt:variant>
      <vt:variant>
        <vt:lpwstr>Risk_assessment</vt:lpwstr>
      </vt:variant>
      <vt:variant>
        <vt:i4>1835013</vt:i4>
      </vt:variant>
      <vt:variant>
        <vt:i4>669</vt:i4>
      </vt:variant>
      <vt:variant>
        <vt:i4>0</vt:i4>
      </vt:variant>
      <vt:variant>
        <vt:i4>5</vt:i4>
      </vt:variant>
      <vt:variant>
        <vt:lpwstr/>
      </vt:variant>
      <vt:variant>
        <vt:lpwstr>Audit</vt:lpwstr>
      </vt:variant>
      <vt:variant>
        <vt:i4>1835013</vt:i4>
      </vt:variant>
      <vt:variant>
        <vt:i4>666</vt:i4>
      </vt:variant>
      <vt:variant>
        <vt:i4>0</vt:i4>
      </vt:variant>
      <vt:variant>
        <vt:i4>5</vt:i4>
      </vt:variant>
      <vt:variant>
        <vt:lpwstr/>
      </vt:variant>
      <vt:variant>
        <vt:lpwstr>Audit</vt:lpwstr>
      </vt:variant>
      <vt:variant>
        <vt:i4>4194369</vt:i4>
      </vt:variant>
      <vt:variant>
        <vt:i4>663</vt:i4>
      </vt:variant>
      <vt:variant>
        <vt:i4>0</vt:i4>
      </vt:variant>
      <vt:variant>
        <vt:i4>5</vt:i4>
      </vt:variant>
      <vt:variant>
        <vt:lpwstr/>
      </vt:variant>
      <vt:variant>
        <vt:lpwstr>Second_line_defense</vt:lpwstr>
      </vt:variant>
      <vt:variant>
        <vt:i4>1835013</vt:i4>
      </vt:variant>
      <vt:variant>
        <vt:i4>660</vt:i4>
      </vt:variant>
      <vt:variant>
        <vt:i4>0</vt:i4>
      </vt:variant>
      <vt:variant>
        <vt:i4>5</vt:i4>
      </vt:variant>
      <vt:variant>
        <vt:lpwstr/>
      </vt:variant>
      <vt:variant>
        <vt:lpwstr>Audit</vt:lpwstr>
      </vt:variant>
      <vt:variant>
        <vt:i4>6619230</vt:i4>
      </vt:variant>
      <vt:variant>
        <vt:i4>657</vt:i4>
      </vt:variant>
      <vt:variant>
        <vt:i4>0</vt:i4>
      </vt:variant>
      <vt:variant>
        <vt:i4>5</vt:i4>
      </vt:variant>
      <vt:variant>
        <vt:lpwstr/>
      </vt:variant>
      <vt:variant>
        <vt:lpwstr>Risk_management</vt:lpwstr>
      </vt:variant>
      <vt:variant>
        <vt:i4>1835013</vt:i4>
      </vt:variant>
      <vt:variant>
        <vt:i4>654</vt:i4>
      </vt:variant>
      <vt:variant>
        <vt:i4>0</vt:i4>
      </vt:variant>
      <vt:variant>
        <vt:i4>5</vt:i4>
      </vt:variant>
      <vt:variant>
        <vt:lpwstr/>
      </vt:variant>
      <vt:variant>
        <vt:lpwstr>Audit</vt:lpwstr>
      </vt:variant>
      <vt:variant>
        <vt:i4>1835013</vt:i4>
      </vt:variant>
      <vt:variant>
        <vt:i4>651</vt:i4>
      </vt:variant>
      <vt:variant>
        <vt:i4>0</vt:i4>
      </vt:variant>
      <vt:variant>
        <vt:i4>5</vt:i4>
      </vt:variant>
      <vt:variant>
        <vt:lpwstr/>
      </vt:variant>
      <vt:variant>
        <vt:lpwstr>Audit</vt:lpwstr>
      </vt:variant>
      <vt:variant>
        <vt:i4>1245218</vt:i4>
      </vt:variant>
      <vt:variant>
        <vt:i4>648</vt:i4>
      </vt:variant>
      <vt:variant>
        <vt:i4>0</vt:i4>
      </vt:variant>
      <vt:variant>
        <vt:i4>5</vt:i4>
      </vt:variant>
      <vt:variant>
        <vt:lpwstr/>
      </vt:variant>
      <vt:variant>
        <vt:lpwstr>Risk_appetite</vt:lpwstr>
      </vt:variant>
      <vt:variant>
        <vt:i4>6291550</vt:i4>
      </vt:variant>
      <vt:variant>
        <vt:i4>645</vt:i4>
      </vt:variant>
      <vt:variant>
        <vt:i4>0</vt:i4>
      </vt:variant>
      <vt:variant>
        <vt:i4>5</vt:i4>
      </vt:variant>
      <vt:variant>
        <vt:lpwstr/>
      </vt:variant>
      <vt:variant>
        <vt:lpwstr>Risk_assessment</vt:lpwstr>
      </vt:variant>
      <vt:variant>
        <vt:i4>4194369</vt:i4>
      </vt:variant>
      <vt:variant>
        <vt:i4>642</vt:i4>
      </vt:variant>
      <vt:variant>
        <vt:i4>0</vt:i4>
      </vt:variant>
      <vt:variant>
        <vt:i4>5</vt:i4>
      </vt:variant>
      <vt:variant>
        <vt:lpwstr/>
      </vt:variant>
      <vt:variant>
        <vt:lpwstr>Second_line_defense</vt:lpwstr>
      </vt:variant>
      <vt:variant>
        <vt:i4>4194369</vt:i4>
      </vt:variant>
      <vt:variant>
        <vt:i4>639</vt:i4>
      </vt:variant>
      <vt:variant>
        <vt:i4>0</vt:i4>
      </vt:variant>
      <vt:variant>
        <vt:i4>5</vt:i4>
      </vt:variant>
      <vt:variant>
        <vt:lpwstr/>
      </vt:variant>
      <vt:variant>
        <vt:lpwstr>Second_line_defense</vt:lpwstr>
      </vt:variant>
      <vt:variant>
        <vt:i4>1245218</vt:i4>
      </vt:variant>
      <vt:variant>
        <vt:i4>636</vt:i4>
      </vt:variant>
      <vt:variant>
        <vt:i4>0</vt:i4>
      </vt:variant>
      <vt:variant>
        <vt:i4>5</vt:i4>
      </vt:variant>
      <vt:variant>
        <vt:lpwstr/>
      </vt:variant>
      <vt:variant>
        <vt:lpwstr>Risk_appetite</vt:lpwstr>
      </vt:variant>
      <vt:variant>
        <vt:i4>4194369</vt:i4>
      </vt:variant>
      <vt:variant>
        <vt:i4>633</vt:i4>
      </vt:variant>
      <vt:variant>
        <vt:i4>0</vt:i4>
      </vt:variant>
      <vt:variant>
        <vt:i4>5</vt:i4>
      </vt:variant>
      <vt:variant>
        <vt:lpwstr/>
      </vt:variant>
      <vt:variant>
        <vt:lpwstr>Second_line_defense</vt:lpwstr>
      </vt:variant>
      <vt:variant>
        <vt:i4>4194369</vt:i4>
      </vt:variant>
      <vt:variant>
        <vt:i4>624</vt:i4>
      </vt:variant>
      <vt:variant>
        <vt:i4>0</vt:i4>
      </vt:variant>
      <vt:variant>
        <vt:i4>5</vt:i4>
      </vt:variant>
      <vt:variant>
        <vt:lpwstr/>
      </vt:variant>
      <vt:variant>
        <vt:lpwstr>Second_line_defense</vt:lpwstr>
      </vt:variant>
      <vt:variant>
        <vt:i4>7209041</vt:i4>
      </vt:variant>
      <vt:variant>
        <vt:i4>621</vt:i4>
      </vt:variant>
      <vt:variant>
        <vt:i4>0</vt:i4>
      </vt:variant>
      <vt:variant>
        <vt:i4>5</vt:i4>
      </vt:variant>
      <vt:variant>
        <vt:lpwstr/>
      </vt:variant>
      <vt:variant>
        <vt:lpwstr>Three_lines_of_defense</vt:lpwstr>
      </vt:variant>
      <vt:variant>
        <vt:i4>6619230</vt:i4>
      </vt:variant>
      <vt:variant>
        <vt:i4>618</vt:i4>
      </vt:variant>
      <vt:variant>
        <vt:i4>0</vt:i4>
      </vt:variant>
      <vt:variant>
        <vt:i4>5</vt:i4>
      </vt:variant>
      <vt:variant>
        <vt:lpwstr/>
      </vt:variant>
      <vt:variant>
        <vt:lpwstr>Risk_management</vt:lpwstr>
      </vt:variant>
      <vt:variant>
        <vt:i4>7209041</vt:i4>
      </vt:variant>
      <vt:variant>
        <vt:i4>615</vt:i4>
      </vt:variant>
      <vt:variant>
        <vt:i4>0</vt:i4>
      </vt:variant>
      <vt:variant>
        <vt:i4>5</vt:i4>
      </vt:variant>
      <vt:variant>
        <vt:lpwstr/>
      </vt:variant>
      <vt:variant>
        <vt:lpwstr>Three_lines_of_defense</vt:lpwstr>
      </vt:variant>
      <vt:variant>
        <vt:i4>6619230</vt:i4>
      </vt:variant>
      <vt:variant>
        <vt:i4>612</vt:i4>
      </vt:variant>
      <vt:variant>
        <vt:i4>0</vt:i4>
      </vt:variant>
      <vt:variant>
        <vt:i4>5</vt:i4>
      </vt:variant>
      <vt:variant>
        <vt:lpwstr/>
      </vt:variant>
      <vt:variant>
        <vt:lpwstr>Risk_management</vt:lpwstr>
      </vt:variant>
      <vt:variant>
        <vt:i4>7209041</vt:i4>
      </vt:variant>
      <vt:variant>
        <vt:i4>609</vt:i4>
      </vt:variant>
      <vt:variant>
        <vt:i4>0</vt:i4>
      </vt:variant>
      <vt:variant>
        <vt:i4>5</vt:i4>
      </vt:variant>
      <vt:variant>
        <vt:lpwstr/>
      </vt:variant>
      <vt:variant>
        <vt:lpwstr>Three_lines_of_defense</vt:lpwstr>
      </vt:variant>
      <vt:variant>
        <vt:i4>6488150</vt:i4>
      </vt:variant>
      <vt:variant>
        <vt:i4>606</vt:i4>
      </vt:variant>
      <vt:variant>
        <vt:i4>0</vt:i4>
      </vt:variant>
      <vt:variant>
        <vt:i4>5</vt:i4>
      </vt:variant>
      <vt:variant>
        <vt:lpwstr/>
      </vt:variant>
      <vt:variant>
        <vt:lpwstr>Risk_tolerance</vt:lpwstr>
      </vt:variant>
      <vt:variant>
        <vt:i4>7340139</vt:i4>
      </vt:variant>
      <vt:variant>
        <vt:i4>603</vt:i4>
      </vt:variant>
      <vt:variant>
        <vt:i4>0</vt:i4>
      </vt:variant>
      <vt:variant>
        <vt:i4>5</vt:i4>
      </vt:variant>
      <vt:variant>
        <vt:lpwstr/>
      </vt:variant>
      <vt:variant>
        <vt:lpwstr>KPI</vt:lpwstr>
      </vt:variant>
      <vt:variant>
        <vt:i4>6488171</vt:i4>
      </vt:variant>
      <vt:variant>
        <vt:i4>600</vt:i4>
      </vt:variant>
      <vt:variant>
        <vt:i4>0</vt:i4>
      </vt:variant>
      <vt:variant>
        <vt:i4>5</vt:i4>
      </vt:variant>
      <vt:variant>
        <vt:lpwstr/>
      </vt:variant>
      <vt:variant>
        <vt:lpwstr>KCI</vt:lpwstr>
      </vt:variant>
      <vt:variant>
        <vt:i4>7471211</vt:i4>
      </vt:variant>
      <vt:variant>
        <vt:i4>597</vt:i4>
      </vt:variant>
      <vt:variant>
        <vt:i4>0</vt:i4>
      </vt:variant>
      <vt:variant>
        <vt:i4>5</vt:i4>
      </vt:variant>
      <vt:variant>
        <vt:lpwstr/>
      </vt:variant>
      <vt:variant>
        <vt:lpwstr>KRI</vt:lpwstr>
      </vt:variant>
      <vt:variant>
        <vt:i4>1245218</vt:i4>
      </vt:variant>
      <vt:variant>
        <vt:i4>594</vt:i4>
      </vt:variant>
      <vt:variant>
        <vt:i4>0</vt:i4>
      </vt:variant>
      <vt:variant>
        <vt:i4>5</vt:i4>
      </vt:variant>
      <vt:variant>
        <vt:lpwstr/>
      </vt:variant>
      <vt:variant>
        <vt:lpwstr>Risk_appetite</vt:lpwstr>
      </vt:variant>
      <vt:variant>
        <vt:i4>6488171</vt:i4>
      </vt:variant>
      <vt:variant>
        <vt:i4>591</vt:i4>
      </vt:variant>
      <vt:variant>
        <vt:i4>0</vt:i4>
      </vt:variant>
      <vt:variant>
        <vt:i4>5</vt:i4>
      </vt:variant>
      <vt:variant>
        <vt:lpwstr/>
      </vt:variant>
      <vt:variant>
        <vt:lpwstr>KCI</vt:lpwstr>
      </vt:variant>
      <vt:variant>
        <vt:i4>7471211</vt:i4>
      </vt:variant>
      <vt:variant>
        <vt:i4>588</vt:i4>
      </vt:variant>
      <vt:variant>
        <vt:i4>0</vt:i4>
      </vt:variant>
      <vt:variant>
        <vt:i4>5</vt:i4>
      </vt:variant>
      <vt:variant>
        <vt:lpwstr/>
      </vt:variant>
      <vt:variant>
        <vt:lpwstr>KRI</vt:lpwstr>
      </vt:variant>
      <vt:variant>
        <vt:i4>6488171</vt:i4>
      </vt:variant>
      <vt:variant>
        <vt:i4>585</vt:i4>
      </vt:variant>
      <vt:variant>
        <vt:i4>0</vt:i4>
      </vt:variant>
      <vt:variant>
        <vt:i4>5</vt:i4>
      </vt:variant>
      <vt:variant>
        <vt:lpwstr/>
      </vt:variant>
      <vt:variant>
        <vt:lpwstr>KCI</vt:lpwstr>
      </vt:variant>
      <vt:variant>
        <vt:i4>7471211</vt:i4>
      </vt:variant>
      <vt:variant>
        <vt:i4>582</vt:i4>
      </vt:variant>
      <vt:variant>
        <vt:i4>0</vt:i4>
      </vt:variant>
      <vt:variant>
        <vt:i4>5</vt:i4>
      </vt:variant>
      <vt:variant>
        <vt:lpwstr/>
      </vt:variant>
      <vt:variant>
        <vt:lpwstr>KRI</vt:lpwstr>
      </vt:variant>
      <vt:variant>
        <vt:i4>7340139</vt:i4>
      </vt:variant>
      <vt:variant>
        <vt:i4>531</vt:i4>
      </vt:variant>
      <vt:variant>
        <vt:i4>0</vt:i4>
      </vt:variant>
      <vt:variant>
        <vt:i4>5</vt:i4>
      </vt:variant>
      <vt:variant>
        <vt:lpwstr/>
      </vt:variant>
      <vt:variant>
        <vt:lpwstr>KPI</vt:lpwstr>
      </vt:variant>
      <vt:variant>
        <vt:i4>7471211</vt:i4>
      </vt:variant>
      <vt:variant>
        <vt:i4>528</vt:i4>
      </vt:variant>
      <vt:variant>
        <vt:i4>0</vt:i4>
      </vt:variant>
      <vt:variant>
        <vt:i4>5</vt:i4>
      </vt:variant>
      <vt:variant>
        <vt:lpwstr/>
      </vt:variant>
      <vt:variant>
        <vt:lpwstr>KRI</vt:lpwstr>
      </vt:variant>
      <vt:variant>
        <vt:i4>6488171</vt:i4>
      </vt:variant>
      <vt:variant>
        <vt:i4>510</vt:i4>
      </vt:variant>
      <vt:variant>
        <vt:i4>0</vt:i4>
      </vt:variant>
      <vt:variant>
        <vt:i4>5</vt:i4>
      </vt:variant>
      <vt:variant>
        <vt:lpwstr/>
      </vt:variant>
      <vt:variant>
        <vt:lpwstr>KCI</vt:lpwstr>
      </vt:variant>
      <vt:variant>
        <vt:i4>7471211</vt:i4>
      </vt:variant>
      <vt:variant>
        <vt:i4>507</vt:i4>
      </vt:variant>
      <vt:variant>
        <vt:i4>0</vt:i4>
      </vt:variant>
      <vt:variant>
        <vt:i4>5</vt:i4>
      </vt:variant>
      <vt:variant>
        <vt:lpwstr/>
      </vt:variant>
      <vt:variant>
        <vt:lpwstr>KRI</vt:lpwstr>
      </vt:variant>
      <vt:variant>
        <vt:i4>7340139</vt:i4>
      </vt:variant>
      <vt:variant>
        <vt:i4>504</vt:i4>
      </vt:variant>
      <vt:variant>
        <vt:i4>0</vt:i4>
      </vt:variant>
      <vt:variant>
        <vt:i4>5</vt:i4>
      </vt:variant>
      <vt:variant>
        <vt:lpwstr/>
      </vt:variant>
      <vt:variant>
        <vt:lpwstr>KPI</vt:lpwstr>
      </vt:variant>
      <vt:variant>
        <vt:i4>6488151</vt:i4>
      </vt:variant>
      <vt:variant>
        <vt:i4>498</vt:i4>
      </vt:variant>
      <vt:variant>
        <vt:i4>0</vt:i4>
      </vt:variant>
      <vt:variant>
        <vt:i4>5</vt:i4>
      </vt:variant>
      <vt:variant>
        <vt:lpwstr/>
      </vt:variant>
      <vt:variant>
        <vt:lpwstr>External_dependency</vt:lpwstr>
      </vt:variant>
      <vt:variant>
        <vt:i4>7471211</vt:i4>
      </vt:variant>
      <vt:variant>
        <vt:i4>489</vt:i4>
      </vt:variant>
      <vt:variant>
        <vt:i4>0</vt:i4>
      </vt:variant>
      <vt:variant>
        <vt:i4>5</vt:i4>
      </vt:variant>
      <vt:variant>
        <vt:lpwstr/>
      </vt:variant>
      <vt:variant>
        <vt:lpwstr>KRI</vt:lpwstr>
      </vt:variant>
      <vt:variant>
        <vt:i4>7340139</vt:i4>
      </vt:variant>
      <vt:variant>
        <vt:i4>486</vt:i4>
      </vt:variant>
      <vt:variant>
        <vt:i4>0</vt:i4>
      </vt:variant>
      <vt:variant>
        <vt:i4>5</vt:i4>
      </vt:variant>
      <vt:variant>
        <vt:lpwstr/>
      </vt:variant>
      <vt:variant>
        <vt:lpwstr>KPI</vt:lpwstr>
      </vt:variant>
      <vt:variant>
        <vt:i4>3211288</vt:i4>
      </vt:variant>
      <vt:variant>
        <vt:i4>480</vt:i4>
      </vt:variant>
      <vt:variant>
        <vt:i4>0</vt:i4>
      </vt:variant>
      <vt:variant>
        <vt:i4>5</vt:i4>
      </vt:variant>
      <vt:variant>
        <vt:lpwstr/>
      </vt:variant>
      <vt:variant>
        <vt:lpwstr>Cyber_resiliency</vt:lpwstr>
      </vt:variant>
      <vt:variant>
        <vt:i4>3276828</vt:i4>
      </vt:variant>
      <vt:variant>
        <vt:i4>477</vt:i4>
      </vt:variant>
      <vt:variant>
        <vt:i4>0</vt:i4>
      </vt:variant>
      <vt:variant>
        <vt:i4>5</vt:i4>
      </vt:variant>
      <vt:variant>
        <vt:lpwstr/>
      </vt:variant>
      <vt:variant>
        <vt:lpwstr>Third_party_service_provider</vt:lpwstr>
      </vt:variant>
      <vt:variant>
        <vt:i4>3276828</vt:i4>
      </vt:variant>
      <vt:variant>
        <vt:i4>474</vt:i4>
      </vt:variant>
      <vt:variant>
        <vt:i4>0</vt:i4>
      </vt:variant>
      <vt:variant>
        <vt:i4>5</vt:i4>
      </vt:variant>
      <vt:variant>
        <vt:lpwstr/>
      </vt:variant>
      <vt:variant>
        <vt:lpwstr>Third_party_service_provider</vt:lpwstr>
      </vt:variant>
      <vt:variant>
        <vt:i4>3211288</vt:i4>
      </vt:variant>
      <vt:variant>
        <vt:i4>471</vt:i4>
      </vt:variant>
      <vt:variant>
        <vt:i4>0</vt:i4>
      </vt:variant>
      <vt:variant>
        <vt:i4>5</vt:i4>
      </vt:variant>
      <vt:variant>
        <vt:lpwstr/>
      </vt:variant>
      <vt:variant>
        <vt:lpwstr>Cyber_resiliency</vt:lpwstr>
      </vt:variant>
      <vt:variant>
        <vt:i4>3211288</vt:i4>
      </vt:variant>
      <vt:variant>
        <vt:i4>468</vt:i4>
      </vt:variant>
      <vt:variant>
        <vt:i4>0</vt:i4>
      </vt:variant>
      <vt:variant>
        <vt:i4>5</vt:i4>
      </vt:variant>
      <vt:variant>
        <vt:lpwstr/>
      </vt:variant>
      <vt:variant>
        <vt:lpwstr>Cyber_resiliency</vt:lpwstr>
      </vt:variant>
      <vt:variant>
        <vt:i4>6291550</vt:i4>
      </vt:variant>
      <vt:variant>
        <vt:i4>465</vt:i4>
      </vt:variant>
      <vt:variant>
        <vt:i4>0</vt:i4>
      </vt:variant>
      <vt:variant>
        <vt:i4>5</vt:i4>
      </vt:variant>
      <vt:variant>
        <vt:lpwstr/>
      </vt:variant>
      <vt:variant>
        <vt:lpwstr>Risk_assessment</vt:lpwstr>
      </vt:variant>
      <vt:variant>
        <vt:i4>589864</vt:i4>
      </vt:variant>
      <vt:variant>
        <vt:i4>456</vt:i4>
      </vt:variant>
      <vt:variant>
        <vt:i4>0</vt:i4>
      </vt:variant>
      <vt:variant>
        <vt:i4>5</vt:i4>
      </vt:variant>
      <vt:variant>
        <vt:lpwstr/>
      </vt:variant>
      <vt:variant>
        <vt:lpwstr>EX_CN_02_01_Contract_Requirements</vt:lpwstr>
      </vt:variant>
      <vt:variant>
        <vt:i4>7340139</vt:i4>
      </vt:variant>
      <vt:variant>
        <vt:i4>453</vt:i4>
      </vt:variant>
      <vt:variant>
        <vt:i4>0</vt:i4>
      </vt:variant>
      <vt:variant>
        <vt:i4>5</vt:i4>
      </vt:variant>
      <vt:variant>
        <vt:lpwstr/>
      </vt:variant>
      <vt:variant>
        <vt:lpwstr>KPI</vt:lpwstr>
      </vt:variant>
      <vt:variant>
        <vt:i4>7471211</vt:i4>
      </vt:variant>
      <vt:variant>
        <vt:i4>450</vt:i4>
      </vt:variant>
      <vt:variant>
        <vt:i4>0</vt:i4>
      </vt:variant>
      <vt:variant>
        <vt:i4>5</vt:i4>
      </vt:variant>
      <vt:variant>
        <vt:lpwstr/>
      </vt:variant>
      <vt:variant>
        <vt:lpwstr>KRI</vt:lpwstr>
      </vt:variant>
      <vt:variant>
        <vt:i4>7209041</vt:i4>
      </vt:variant>
      <vt:variant>
        <vt:i4>447</vt:i4>
      </vt:variant>
      <vt:variant>
        <vt:i4>0</vt:i4>
      </vt:variant>
      <vt:variant>
        <vt:i4>5</vt:i4>
      </vt:variant>
      <vt:variant>
        <vt:lpwstr/>
      </vt:variant>
      <vt:variant>
        <vt:lpwstr>Three_lines_of_defense</vt:lpwstr>
      </vt:variant>
      <vt:variant>
        <vt:i4>6291550</vt:i4>
      </vt:variant>
      <vt:variant>
        <vt:i4>441</vt:i4>
      </vt:variant>
      <vt:variant>
        <vt:i4>0</vt:i4>
      </vt:variant>
      <vt:variant>
        <vt:i4>5</vt:i4>
      </vt:variant>
      <vt:variant>
        <vt:lpwstr/>
      </vt:variant>
      <vt:variant>
        <vt:lpwstr>Risk_assessment</vt:lpwstr>
      </vt:variant>
      <vt:variant>
        <vt:i4>6291550</vt:i4>
      </vt:variant>
      <vt:variant>
        <vt:i4>438</vt:i4>
      </vt:variant>
      <vt:variant>
        <vt:i4>0</vt:i4>
      </vt:variant>
      <vt:variant>
        <vt:i4>5</vt:i4>
      </vt:variant>
      <vt:variant>
        <vt:lpwstr/>
      </vt:variant>
      <vt:variant>
        <vt:lpwstr>Risk_assessment</vt:lpwstr>
      </vt:variant>
      <vt:variant>
        <vt:i4>6291542</vt:i4>
      </vt:variant>
      <vt:variant>
        <vt:i4>435</vt:i4>
      </vt:variant>
      <vt:variant>
        <vt:i4>0</vt:i4>
      </vt:variant>
      <vt:variant>
        <vt:i4>5</vt:i4>
      </vt:variant>
      <vt:variant>
        <vt:lpwstr/>
      </vt:variant>
      <vt:variant>
        <vt:lpwstr>Critical_infrastructure</vt:lpwstr>
      </vt:variant>
      <vt:variant>
        <vt:i4>3211288</vt:i4>
      </vt:variant>
      <vt:variant>
        <vt:i4>432</vt:i4>
      </vt:variant>
      <vt:variant>
        <vt:i4>0</vt:i4>
      </vt:variant>
      <vt:variant>
        <vt:i4>5</vt:i4>
      </vt:variant>
      <vt:variant>
        <vt:lpwstr/>
      </vt:variant>
      <vt:variant>
        <vt:lpwstr>Cyber_resiliency</vt:lpwstr>
      </vt:variant>
      <vt:variant>
        <vt:i4>3801108</vt:i4>
      </vt:variant>
      <vt:variant>
        <vt:i4>429</vt:i4>
      </vt:variant>
      <vt:variant>
        <vt:i4>0</vt:i4>
      </vt:variant>
      <vt:variant>
        <vt:i4>5</vt:i4>
      </vt:variant>
      <vt:variant>
        <vt:lpwstr/>
      </vt:variant>
      <vt:variant>
        <vt:lpwstr>Cyber_threat</vt:lpwstr>
      </vt:variant>
      <vt:variant>
        <vt:i4>4194369</vt:i4>
      </vt:variant>
      <vt:variant>
        <vt:i4>426</vt:i4>
      </vt:variant>
      <vt:variant>
        <vt:i4>0</vt:i4>
      </vt:variant>
      <vt:variant>
        <vt:i4>5</vt:i4>
      </vt:variant>
      <vt:variant>
        <vt:lpwstr/>
      </vt:variant>
      <vt:variant>
        <vt:lpwstr>Second_line_defense</vt:lpwstr>
      </vt:variant>
      <vt:variant>
        <vt:i4>4194382</vt:i4>
      </vt:variant>
      <vt:variant>
        <vt:i4>423</vt:i4>
      </vt:variant>
      <vt:variant>
        <vt:i4>0</vt:i4>
      </vt:variant>
      <vt:variant>
        <vt:i4>5</vt:i4>
      </vt:variant>
      <vt:variant>
        <vt:lpwstr/>
      </vt:variant>
      <vt:variant>
        <vt:lpwstr>First_line_defense</vt:lpwstr>
      </vt:variant>
      <vt:variant>
        <vt:i4>7209041</vt:i4>
      </vt:variant>
      <vt:variant>
        <vt:i4>420</vt:i4>
      </vt:variant>
      <vt:variant>
        <vt:i4>0</vt:i4>
      </vt:variant>
      <vt:variant>
        <vt:i4>5</vt:i4>
      </vt:variant>
      <vt:variant>
        <vt:lpwstr/>
      </vt:variant>
      <vt:variant>
        <vt:lpwstr>Three_lines_of_defense</vt:lpwstr>
      </vt:variant>
      <vt:variant>
        <vt:i4>6488150</vt:i4>
      </vt:variant>
      <vt:variant>
        <vt:i4>417</vt:i4>
      </vt:variant>
      <vt:variant>
        <vt:i4>0</vt:i4>
      </vt:variant>
      <vt:variant>
        <vt:i4>5</vt:i4>
      </vt:variant>
      <vt:variant>
        <vt:lpwstr/>
      </vt:variant>
      <vt:variant>
        <vt:lpwstr>Risk_tolerance</vt:lpwstr>
      </vt:variant>
      <vt:variant>
        <vt:i4>6750294</vt:i4>
      </vt:variant>
      <vt:variant>
        <vt:i4>414</vt:i4>
      </vt:variant>
      <vt:variant>
        <vt:i4>0</vt:i4>
      </vt:variant>
      <vt:variant>
        <vt:i4>5</vt:i4>
      </vt:variant>
      <vt:variant>
        <vt:lpwstr/>
      </vt:variant>
      <vt:variant>
        <vt:lpwstr>Threat_intelligence</vt:lpwstr>
      </vt:variant>
      <vt:variant>
        <vt:i4>7471211</vt:i4>
      </vt:variant>
      <vt:variant>
        <vt:i4>411</vt:i4>
      </vt:variant>
      <vt:variant>
        <vt:i4>0</vt:i4>
      </vt:variant>
      <vt:variant>
        <vt:i4>5</vt:i4>
      </vt:variant>
      <vt:variant>
        <vt:lpwstr/>
      </vt:variant>
      <vt:variant>
        <vt:lpwstr>KRI</vt:lpwstr>
      </vt:variant>
      <vt:variant>
        <vt:i4>6488150</vt:i4>
      </vt:variant>
      <vt:variant>
        <vt:i4>408</vt:i4>
      </vt:variant>
      <vt:variant>
        <vt:i4>0</vt:i4>
      </vt:variant>
      <vt:variant>
        <vt:i4>5</vt:i4>
      </vt:variant>
      <vt:variant>
        <vt:lpwstr/>
      </vt:variant>
      <vt:variant>
        <vt:lpwstr>Risk_tolerance</vt:lpwstr>
      </vt:variant>
      <vt:variant>
        <vt:i4>1245218</vt:i4>
      </vt:variant>
      <vt:variant>
        <vt:i4>405</vt:i4>
      </vt:variant>
      <vt:variant>
        <vt:i4>0</vt:i4>
      </vt:variant>
      <vt:variant>
        <vt:i4>5</vt:i4>
      </vt:variant>
      <vt:variant>
        <vt:lpwstr/>
      </vt:variant>
      <vt:variant>
        <vt:lpwstr>Risk_appetite</vt:lpwstr>
      </vt:variant>
      <vt:variant>
        <vt:i4>6291542</vt:i4>
      </vt:variant>
      <vt:variant>
        <vt:i4>402</vt:i4>
      </vt:variant>
      <vt:variant>
        <vt:i4>0</vt:i4>
      </vt:variant>
      <vt:variant>
        <vt:i4>5</vt:i4>
      </vt:variant>
      <vt:variant>
        <vt:lpwstr/>
      </vt:variant>
      <vt:variant>
        <vt:lpwstr>Critical_infrastructure</vt:lpwstr>
      </vt:variant>
      <vt:variant>
        <vt:i4>7471211</vt:i4>
      </vt:variant>
      <vt:variant>
        <vt:i4>399</vt:i4>
      </vt:variant>
      <vt:variant>
        <vt:i4>0</vt:i4>
      </vt:variant>
      <vt:variant>
        <vt:i4>5</vt:i4>
      </vt:variant>
      <vt:variant>
        <vt:lpwstr/>
      </vt:variant>
      <vt:variant>
        <vt:lpwstr>KRI</vt:lpwstr>
      </vt:variant>
      <vt:variant>
        <vt:i4>7471211</vt:i4>
      </vt:variant>
      <vt:variant>
        <vt:i4>396</vt:i4>
      </vt:variant>
      <vt:variant>
        <vt:i4>0</vt:i4>
      </vt:variant>
      <vt:variant>
        <vt:i4>5</vt:i4>
      </vt:variant>
      <vt:variant>
        <vt:lpwstr/>
      </vt:variant>
      <vt:variant>
        <vt:lpwstr>KRI</vt:lpwstr>
      </vt:variant>
      <vt:variant>
        <vt:i4>1245218</vt:i4>
      </vt:variant>
      <vt:variant>
        <vt:i4>393</vt:i4>
      </vt:variant>
      <vt:variant>
        <vt:i4>0</vt:i4>
      </vt:variant>
      <vt:variant>
        <vt:i4>5</vt:i4>
      </vt:variant>
      <vt:variant>
        <vt:lpwstr/>
      </vt:variant>
      <vt:variant>
        <vt:lpwstr>Risk_appetite</vt:lpwstr>
      </vt:variant>
      <vt:variant>
        <vt:i4>6488150</vt:i4>
      </vt:variant>
      <vt:variant>
        <vt:i4>390</vt:i4>
      </vt:variant>
      <vt:variant>
        <vt:i4>0</vt:i4>
      </vt:variant>
      <vt:variant>
        <vt:i4>5</vt:i4>
      </vt:variant>
      <vt:variant>
        <vt:lpwstr/>
      </vt:variant>
      <vt:variant>
        <vt:lpwstr>Risk_tolerance</vt:lpwstr>
      </vt:variant>
      <vt:variant>
        <vt:i4>6488150</vt:i4>
      </vt:variant>
      <vt:variant>
        <vt:i4>387</vt:i4>
      </vt:variant>
      <vt:variant>
        <vt:i4>0</vt:i4>
      </vt:variant>
      <vt:variant>
        <vt:i4>5</vt:i4>
      </vt:variant>
      <vt:variant>
        <vt:lpwstr/>
      </vt:variant>
      <vt:variant>
        <vt:lpwstr>Risk_tolerance</vt:lpwstr>
      </vt:variant>
      <vt:variant>
        <vt:i4>1245218</vt:i4>
      </vt:variant>
      <vt:variant>
        <vt:i4>384</vt:i4>
      </vt:variant>
      <vt:variant>
        <vt:i4>0</vt:i4>
      </vt:variant>
      <vt:variant>
        <vt:i4>5</vt:i4>
      </vt:variant>
      <vt:variant>
        <vt:lpwstr/>
      </vt:variant>
      <vt:variant>
        <vt:lpwstr>Risk_appetite</vt:lpwstr>
      </vt:variant>
      <vt:variant>
        <vt:i4>6488171</vt:i4>
      </vt:variant>
      <vt:variant>
        <vt:i4>381</vt:i4>
      </vt:variant>
      <vt:variant>
        <vt:i4>0</vt:i4>
      </vt:variant>
      <vt:variant>
        <vt:i4>5</vt:i4>
      </vt:variant>
      <vt:variant>
        <vt:lpwstr/>
      </vt:variant>
      <vt:variant>
        <vt:lpwstr>KCI</vt:lpwstr>
      </vt:variant>
      <vt:variant>
        <vt:i4>7340139</vt:i4>
      </vt:variant>
      <vt:variant>
        <vt:i4>378</vt:i4>
      </vt:variant>
      <vt:variant>
        <vt:i4>0</vt:i4>
      </vt:variant>
      <vt:variant>
        <vt:i4>5</vt:i4>
      </vt:variant>
      <vt:variant>
        <vt:lpwstr/>
      </vt:variant>
      <vt:variant>
        <vt:lpwstr>KPI</vt:lpwstr>
      </vt:variant>
      <vt:variant>
        <vt:i4>7471211</vt:i4>
      </vt:variant>
      <vt:variant>
        <vt:i4>375</vt:i4>
      </vt:variant>
      <vt:variant>
        <vt:i4>0</vt:i4>
      </vt:variant>
      <vt:variant>
        <vt:i4>5</vt:i4>
      </vt:variant>
      <vt:variant>
        <vt:lpwstr/>
      </vt:variant>
      <vt:variant>
        <vt:lpwstr>KRI</vt:lpwstr>
      </vt:variant>
      <vt:variant>
        <vt:i4>8257654</vt:i4>
      </vt:variant>
      <vt:variant>
        <vt:i4>345</vt:i4>
      </vt:variant>
      <vt:variant>
        <vt:i4>0</vt:i4>
      </vt:variant>
      <vt:variant>
        <vt:i4>5</vt:i4>
      </vt:variant>
      <vt:variant>
        <vt:lpwstr/>
      </vt:variant>
      <vt:variant>
        <vt:lpwstr>Recovery_point_obj</vt:lpwstr>
      </vt:variant>
      <vt:variant>
        <vt:i4>8257654</vt:i4>
      </vt:variant>
      <vt:variant>
        <vt:i4>342</vt:i4>
      </vt:variant>
      <vt:variant>
        <vt:i4>0</vt:i4>
      </vt:variant>
      <vt:variant>
        <vt:i4>5</vt:i4>
      </vt:variant>
      <vt:variant>
        <vt:lpwstr/>
      </vt:variant>
      <vt:variant>
        <vt:lpwstr>Recovery_point_obj</vt:lpwstr>
      </vt:variant>
      <vt:variant>
        <vt:i4>3276841</vt:i4>
      </vt:variant>
      <vt:variant>
        <vt:i4>339</vt:i4>
      </vt:variant>
      <vt:variant>
        <vt:i4>0</vt:i4>
      </vt:variant>
      <vt:variant>
        <vt:i4>5</vt:i4>
      </vt:variant>
      <vt:variant>
        <vt:lpwstr/>
      </vt:variant>
      <vt:variant>
        <vt:lpwstr>Recovery_time_obj</vt:lpwstr>
      </vt:variant>
      <vt:variant>
        <vt:i4>6488151</vt:i4>
      </vt:variant>
      <vt:variant>
        <vt:i4>336</vt:i4>
      </vt:variant>
      <vt:variant>
        <vt:i4>0</vt:i4>
      </vt:variant>
      <vt:variant>
        <vt:i4>5</vt:i4>
      </vt:variant>
      <vt:variant>
        <vt:lpwstr/>
      </vt:variant>
      <vt:variant>
        <vt:lpwstr>External_dependency</vt:lpwstr>
      </vt:variant>
      <vt:variant>
        <vt:i4>3211288</vt:i4>
      </vt:variant>
      <vt:variant>
        <vt:i4>330</vt:i4>
      </vt:variant>
      <vt:variant>
        <vt:i4>0</vt:i4>
      </vt:variant>
      <vt:variant>
        <vt:i4>5</vt:i4>
      </vt:variant>
      <vt:variant>
        <vt:lpwstr/>
      </vt:variant>
      <vt:variant>
        <vt:lpwstr>Cyber_resiliency</vt:lpwstr>
      </vt:variant>
      <vt:variant>
        <vt:i4>4784235</vt:i4>
      </vt:variant>
      <vt:variant>
        <vt:i4>327</vt:i4>
      </vt:variant>
      <vt:variant>
        <vt:i4>0</vt:i4>
      </vt:variant>
      <vt:variant>
        <vt:i4>5</vt:i4>
      </vt:variant>
      <vt:variant>
        <vt:lpwstr/>
      </vt:variant>
      <vt:variant>
        <vt:lpwstr>Operational_resilience</vt:lpwstr>
      </vt:variant>
      <vt:variant>
        <vt:i4>6291542</vt:i4>
      </vt:variant>
      <vt:variant>
        <vt:i4>324</vt:i4>
      </vt:variant>
      <vt:variant>
        <vt:i4>0</vt:i4>
      </vt:variant>
      <vt:variant>
        <vt:i4>5</vt:i4>
      </vt:variant>
      <vt:variant>
        <vt:lpwstr/>
      </vt:variant>
      <vt:variant>
        <vt:lpwstr>Critical_infrastructure</vt:lpwstr>
      </vt:variant>
      <vt:variant>
        <vt:i4>6291542</vt:i4>
      </vt:variant>
      <vt:variant>
        <vt:i4>321</vt:i4>
      </vt:variant>
      <vt:variant>
        <vt:i4>0</vt:i4>
      </vt:variant>
      <vt:variant>
        <vt:i4>5</vt:i4>
      </vt:variant>
      <vt:variant>
        <vt:lpwstr/>
      </vt:variant>
      <vt:variant>
        <vt:lpwstr>Critical_infrastructure</vt:lpwstr>
      </vt:variant>
      <vt:variant>
        <vt:i4>1245218</vt:i4>
      </vt:variant>
      <vt:variant>
        <vt:i4>318</vt:i4>
      </vt:variant>
      <vt:variant>
        <vt:i4>0</vt:i4>
      </vt:variant>
      <vt:variant>
        <vt:i4>5</vt:i4>
      </vt:variant>
      <vt:variant>
        <vt:lpwstr/>
      </vt:variant>
      <vt:variant>
        <vt:lpwstr>Risk_appetite</vt:lpwstr>
      </vt:variant>
      <vt:variant>
        <vt:i4>6488150</vt:i4>
      </vt:variant>
      <vt:variant>
        <vt:i4>315</vt:i4>
      </vt:variant>
      <vt:variant>
        <vt:i4>0</vt:i4>
      </vt:variant>
      <vt:variant>
        <vt:i4>5</vt:i4>
      </vt:variant>
      <vt:variant>
        <vt:lpwstr/>
      </vt:variant>
      <vt:variant>
        <vt:lpwstr>Risk_tolerance</vt:lpwstr>
      </vt:variant>
      <vt:variant>
        <vt:i4>1245218</vt:i4>
      </vt:variant>
      <vt:variant>
        <vt:i4>312</vt:i4>
      </vt:variant>
      <vt:variant>
        <vt:i4>0</vt:i4>
      </vt:variant>
      <vt:variant>
        <vt:i4>5</vt:i4>
      </vt:variant>
      <vt:variant>
        <vt:lpwstr/>
      </vt:variant>
      <vt:variant>
        <vt:lpwstr>Risk_appetite</vt:lpwstr>
      </vt:variant>
      <vt:variant>
        <vt:i4>6488150</vt:i4>
      </vt:variant>
      <vt:variant>
        <vt:i4>309</vt:i4>
      </vt:variant>
      <vt:variant>
        <vt:i4>0</vt:i4>
      </vt:variant>
      <vt:variant>
        <vt:i4>5</vt:i4>
      </vt:variant>
      <vt:variant>
        <vt:lpwstr/>
      </vt:variant>
      <vt:variant>
        <vt:lpwstr>Risk_tolerance</vt:lpwstr>
      </vt:variant>
      <vt:variant>
        <vt:i4>5382144</vt:i4>
      </vt:variant>
      <vt:variant>
        <vt:i4>306</vt:i4>
      </vt:variant>
      <vt:variant>
        <vt:i4>0</vt:i4>
      </vt:variant>
      <vt:variant>
        <vt:i4>5</vt:i4>
      </vt:variant>
      <vt:variant>
        <vt:lpwstr/>
      </vt:variant>
      <vt:variant>
        <vt:lpwstr>_Determine_Your_Organization’s</vt:lpwstr>
      </vt:variant>
      <vt:variant>
        <vt:i4>4792358</vt:i4>
      </vt:variant>
      <vt:variant>
        <vt:i4>303</vt:i4>
      </vt:variant>
      <vt:variant>
        <vt:i4>0</vt:i4>
      </vt:variant>
      <vt:variant>
        <vt:i4>5</vt:i4>
      </vt:variant>
      <vt:variant>
        <vt:lpwstr/>
      </vt:variant>
      <vt:variant>
        <vt:lpwstr>_APPENDIX_C_–_1</vt:lpwstr>
      </vt:variant>
      <vt:variant>
        <vt:i4>2031674</vt:i4>
      </vt:variant>
      <vt:variant>
        <vt:i4>296</vt:i4>
      </vt:variant>
      <vt:variant>
        <vt:i4>0</vt:i4>
      </vt:variant>
      <vt:variant>
        <vt:i4>5</vt:i4>
      </vt:variant>
      <vt:variant>
        <vt:lpwstr/>
      </vt:variant>
      <vt:variant>
        <vt:lpwstr>_Toc89343623</vt:lpwstr>
      </vt:variant>
      <vt:variant>
        <vt:i4>1966138</vt:i4>
      </vt:variant>
      <vt:variant>
        <vt:i4>290</vt:i4>
      </vt:variant>
      <vt:variant>
        <vt:i4>0</vt:i4>
      </vt:variant>
      <vt:variant>
        <vt:i4>5</vt:i4>
      </vt:variant>
      <vt:variant>
        <vt:lpwstr/>
      </vt:variant>
      <vt:variant>
        <vt:lpwstr>_Toc89343622</vt:lpwstr>
      </vt:variant>
      <vt:variant>
        <vt:i4>1900602</vt:i4>
      </vt:variant>
      <vt:variant>
        <vt:i4>284</vt:i4>
      </vt:variant>
      <vt:variant>
        <vt:i4>0</vt:i4>
      </vt:variant>
      <vt:variant>
        <vt:i4>5</vt:i4>
      </vt:variant>
      <vt:variant>
        <vt:lpwstr/>
      </vt:variant>
      <vt:variant>
        <vt:lpwstr>_Toc89343621</vt:lpwstr>
      </vt:variant>
      <vt:variant>
        <vt:i4>1835066</vt:i4>
      </vt:variant>
      <vt:variant>
        <vt:i4>278</vt:i4>
      </vt:variant>
      <vt:variant>
        <vt:i4>0</vt:i4>
      </vt:variant>
      <vt:variant>
        <vt:i4>5</vt:i4>
      </vt:variant>
      <vt:variant>
        <vt:lpwstr/>
      </vt:variant>
      <vt:variant>
        <vt:lpwstr>_Toc89343620</vt:lpwstr>
      </vt:variant>
      <vt:variant>
        <vt:i4>1376313</vt:i4>
      </vt:variant>
      <vt:variant>
        <vt:i4>272</vt:i4>
      </vt:variant>
      <vt:variant>
        <vt:i4>0</vt:i4>
      </vt:variant>
      <vt:variant>
        <vt:i4>5</vt:i4>
      </vt:variant>
      <vt:variant>
        <vt:lpwstr/>
      </vt:variant>
      <vt:variant>
        <vt:lpwstr>_Toc89343619</vt:lpwstr>
      </vt:variant>
      <vt:variant>
        <vt:i4>1310777</vt:i4>
      </vt:variant>
      <vt:variant>
        <vt:i4>266</vt:i4>
      </vt:variant>
      <vt:variant>
        <vt:i4>0</vt:i4>
      </vt:variant>
      <vt:variant>
        <vt:i4>5</vt:i4>
      </vt:variant>
      <vt:variant>
        <vt:lpwstr/>
      </vt:variant>
      <vt:variant>
        <vt:lpwstr>_Toc89343618</vt:lpwstr>
      </vt:variant>
      <vt:variant>
        <vt:i4>1769529</vt:i4>
      </vt:variant>
      <vt:variant>
        <vt:i4>260</vt:i4>
      </vt:variant>
      <vt:variant>
        <vt:i4>0</vt:i4>
      </vt:variant>
      <vt:variant>
        <vt:i4>5</vt:i4>
      </vt:variant>
      <vt:variant>
        <vt:lpwstr/>
      </vt:variant>
      <vt:variant>
        <vt:lpwstr>_Toc89343617</vt:lpwstr>
      </vt:variant>
      <vt:variant>
        <vt:i4>1703993</vt:i4>
      </vt:variant>
      <vt:variant>
        <vt:i4>254</vt:i4>
      </vt:variant>
      <vt:variant>
        <vt:i4>0</vt:i4>
      </vt:variant>
      <vt:variant>
        <vt:i4>5</vt:i4>
      </vt:variant>
      <vt:variant>
        <vt:lpwstr/>
      </vt:variant>
      <vt:variant>
        <vt:lpwstr>_Toc89343616</vt:lpwstr>
      </vt:variant>
      <vt:variant>
        <vt:i4>1638457</vt:i4>
      </vt:variant>
      <vt:variant>
        <vt:i4>248</vt:i4>
      </vt:variant>
      <vt:variant>
        <vt:i4>0</vt:i4>
      </vt:variant>
      <vt:variant>
        <vt:i4>5</vt:i4>
      </vt:variant>
      <vt:variant>
        <vt:lpwstr/>
      </vt:variant>
      <vt:variant>
        <vt:lpwstr>_Toc89343615</vt:lpwstr>
      </vt:variant>
      <vt:variant>
        <vt:i4>1572921</vt:i4>
      </vt:variant>
      <vt:variant>
        <vt:i4>242</vt:i4>
      </vt:variant>
      <vt:variant>
        <vt:i4>0</vt:i4>
      </vt:variant>
      <vt:variant>
        <vt:i4>5</vt:i4>
      </vt:variant>
      <vt:variant>
        <vt:lpwstr/>
      </vt:variant>
      <vt:variant>
        <vt:lpwstr>_Toc89343614</vt:lpwstr>
      </vt:variant>
      <vt:variant>
        <vt:i4>2031673</vt:i4>
      </vt:variant>
      <vt:variant>
        <vt:i4>236</vt:i4>
      </vt:variant>
      <vt:variant>
        <vt:i4>0</vt:i4>
      </vt:variant>
      <vt:variant>
        <vt:i4>5</vt:i4>
      </vt:variant>
      <vt:variant>
        <vt:lpwstr/>
      </vt:variant>
      <vt:variant>
        <vt:lpwstr>_Toc89343613</vt:lpwstr>
      </vt:variant>
      <vt:variant>
        <vt:i4>1966137</vt:i4>
      </vt:variant>
      <vt:variant>
        <vt:i4>230</vt:i4>
      </vt:variant>
      <vt:variant>
        <vt:i4>0</vt:i4>
      </vt:variant>
      <vt:variant>
        <vt:i4>5</vt:i4>
      </vt:variant>
      <vt:variant>
        <vt:lpwstr/>
      </vt:variant>
      <vt:variant>
        <vt:lpwstr>_Toc89343612</vt:lpwstr>
      </vt:variant>
      <vt:variant>
        <vt:i4>1900601</vt:i4>
      </vt:variant>
      <vt:variant>
        <vt:i4>224</vt:i4>
      </vt:variant>
      <vt:variant>
        <vt:i4>0</vt:i4>
      </vt:variant>
      <vt:variant>
        <vt:i4>5</vt:i4>
      </vt:variant>
      <vt:variant>
        <vt:lpwstr/>
      </vt:variant>
      <vt:variant>
        <vt:lpwstr>_Toc89343611</vt:lpwstr>
      </vt:variant>
      <vt:variant>
        <vt:i4>1835065</vt:i4>
      </vt:variant>
      <vt:variant>
        <vt:i4>218</vt:i4>
      </vt:variant>
      <vt:variant>
        <vt:i4>0</vt:i4>
      </vt:variant>
      <vt:variant>
        <vt:i4>5</vt:i4>
      </vt:variant>
      <vt:variant>
        <vt:lpwstr/>
      </vt:variant>
      <vt:variant>
        <vt:lpwstr>_Toc89343610</vt:lpwstr>
      </vt:variant>
      <vt:variant>
        <vt:i4>1376312</vt:i4>
      </vt:variant>
      <vt:variant>
        <vt:i4>212</vt:i4>
      </vt:variant>
      <vt:variant>
        <vt:i4>0</vt:i4>
      </vt:variant>
      <vt:variant>
        <vt:i4>5</vt:i4>
      </vt:variant>
      <vt:variant>
        <vt:lpwstr/>
      </vt:variant>
      <vt:variant>
        <vt:lpwstr>_Toc89343609</vt:lpwstr>
      </vt:variant>
      <vt:variant>
        <vt:i4>1310776</vt:i4>
      </vt:variant>
      <vt:variant>
        <vt:i4>206</vt:i4>
      </vt:variant>
      <vt:variant>
        <vt:i4>0</vt:i4>
      </vt:variant>
      <vt:variant>
        <vt:i4>5</vt:i4>
      </vt:variant>
      <vt:variant>
        <vt:lpwstr/>
      </vt:variant>
      <vt:variant>
        <vt:lpwstr>_Toc89343608</vt:lpwstr>
      </vt:variant>
      <vt:variant>
        <vt:i4>1769528</vt:i4>
      </vt:variant>
      <vt:variant>
        <vt:i4>200</vt:i4>
      </vt:variant>
      <vt:variant>
        <vt:i4>0</vt:i4>
      </vt:variant>
      <vt:variant>
        <vt:i4>5</vt:i4>
      </vt:variant>
      <vt:variant>
        <vt:lpwstr/>
      </vt:variant>
      <vt:variant>
        <vt:lpwstr>_Toc89343607</vt:lpwstr>
      </vt:variant>
      <vt:variant>
        <vt:i4>1703992</vt:i4>
      </vt:variant>
      <vt:variant>
        <vt:i4>194</vt:i4>
      </vt:variant>
      <vt:variant>
        <vt:i4>0</vt:i4>
      </vt:variant>
      <vt:variant>
        <vt:i4>5</vt:i4>
      </vt:variant>
      <vt:variant>
        <vt:lpwstr/>
      </vt:variant>
      <vt:variant>
        <vt:lpwstr>_Toc89343606</vt:lpwstr>
      </vt:variant>
      <vt:variant>
        <vt:i4>1638456</vt:i4>
      </vt:variant>
      <vt:variant>
        <vt:i4>188</vt:i4>
      </vt:variant>
      <vt:variant>
        <vt:i4>0</vt:i4>
      </vt:variant>
      <vt:variant>
        <vt:i4>5</vt:i4>
      </vt:variant>
      <vt:variant>
        <vt:lpwstr/>
      </vt:variant>
      <vt:variant>
        <vt:lpwstr>_Toc89343605</vt:lpwstr>
      </vt:variant>
      <vt:variant>
        <vt:i4>1572920</vt:i4>
      </vt:variant>
      <vt:variant>
        <vt:i4>182</vt:i4>
      </vt:variant>
      <vt:variant>
        <vt:i4>0</vt:i4>
      </vt:variant>
      <vt:variant>
        <vt:i4>5</vt:i4>
      </vt:variant>
      <vt:variant>
        <vt:lpwstr/>
      </vt:variant>
      <vt:variant>
        <vt:lpwstr>_Toc89343604</vt:lpwstr>
      </vt:variant>
      <vt:variant>
        <vt:i4>2031672</vt:i4>
      </vt:variant>
      <vt:variant>
        <vt:i4>176</vt:i4>
      </vt:variant>
      <vt:variant>
        <vt:i4>0</vt:i4>
      </vt:variant>
      <vt:variant>
        <vt:i4>5</vt:i4>
      </vt:variant>
      <vt:variant>
        <vt:lpwstr/>
      </vt:variant>
      <vt:variant>
        <vt:lpwstr>_Toc89343603</vt:lpwstr>
      </vt:variant>
      <vt:variant>
        <vt:i4>1966136</vt:i4>
      </vt:variant>
      <vt:variant>
        <vt:i4>170</vt:i4>
      </vt:variant>
      <vt:variant>
        <vt:i4>0</vt:i4>
      </vt:variant>
      <vt:variant>
        <vt:i4>5</vt:i4>
      </vt:variant>
      <vt:variant>
        <vt:lpwstr/>
      </vt:variant>
      <vt:variant>
        <vt:lpwstr>_Toc89343602</vt:lpwstr>
      </vt:variant>
      <vt:variant>
        <vt:i4>1900600</vt:i4>
      </vt:variant>
      <vt:variant>
        <vt:i4>164</vt:i4>
      </vt:variant>
      <vt:variant>
        <vt:i4>0</vt:i4>
      </vt:variant>
      <vt:variant>
        <vt:i4>5</vt:i4>
      </vt:variant>
      <vt:variant>
        <vt:lpwstr/>
      </vt:variant>
      <vt:variant>
        <vt:lpwstr>_Toc89343601</vt:lpwstr>
      </vt:variant>
      <vt:variant>
        <vt:i4>1835064</vt:i4>
      </vt:variant>
      <vt:variant>
        <vt:i4>158</vt:i4>
      </vt:variant>
      <vt:variant>
        <vt:i4>0</vt:i4>
      </vt:variant>
      <vt:variant>
        <vt:i4>5</vt:i4>
      </vt:variant>
      <vt:variant>
        <vt:lpwstr/>
      </vt:variant>
      <vt:variant>
        <vt:lpwstr>_Toc89343600</vt:lpwstr>
      </vt:variant>
      <vt:variant>
        <vt:i4>1441841</vt:i4>
      </vt:variant>
      <vt:variant>
        <vt:i4>152</vt:i4>
      </vt:variant>
      <vt:variant>
        <vt:i4>0</vt:i4>
      </vt:variant>
      <vt:variant>
        <vt:i4>5</vt:i4>
      </vt:variant>
      <vt:variant>
        <vt:lpwstr/>
      </vt:variant>
      <vt:variant>
        <vt:lpwstr>_Toc89343599</vt:lpwstr>
      </vt:variant>
      <vt:variant>
        <vt:i4>1507377</vt:i4>
      </vt:variant>
      <vt:variant>
        <vt:i4>146</vt:i4>
      </vt:variant>
      <vt:variant>
        <vt:i4>0</vt:i4>
      </vt:variant>
      <vt:variant>
        <vt:i4>5</vt:i4>
      </vt:variant>
      <vt:variant>
        <vt:lpwstr/>
      </vt:variant>
      <vt:variant>
        <vt:lpwstr>_Toc89343598</vt:lpwstr>
      </vt:variant>
      <vt:variant>
        <vt:i4>1572913</vt:i4>
      </vt:variant>
      <vt:variant>
        <vt:i4>140</vt:i4>
      </vt:variant>
      <vt:variant>
        <vt:i4>0</vt:i4>
      </vt:variant>
      <vt:variant>
        <vt:i4>5</vt:i4>
      </vt:variant>
      <vt:variant>
        <vt:lpwstr/>
      </vt:variant>
      <vt:variant>
        <vt:lpwstr>_Toc89343597</vt:lpwstr>
      </vt:variant>
      <vt:variant>
        <vt:i4>1638449</vt:i4>
      </vt:variant>
      <vt:variant>
        <vt:i4>134</vt:i4>
      </vt:variant>
      <vt:variant>
        <vt:i4>0</vt:i4>
      </vt:variant>
      <vt:variant>
        <vt:i4>5</vt:i4>
      </vt:variant>
      <vt:variant>
        <vt:lpwstr/>
      </vt:variant>
      <vt:variant>
        <vt:lpwstr>_Toc89343596</vt:lpwstr>
      </vt:variant>
      <vt:variant>
        <vt:i4>1703985</vt:i4>
      </vt:variant>
      <vt:variant>
        <vt:i4>128</vt:i4>
      </vt:variant>
      <vt:variant>
        <vt:i4>0</vt:i4>
      </vt:variant>
      <vt:variant>
        <vt:i4>5</vt:i4>
      </vt:variant>
      <vt:variant>
        <vt:lpwstr/>
      </vt:variant>
      <vt:variant>
        <vt:lpwstr>_Toc89343595</vt:lpwstr>
      </vt:variant>
      <vt:variant>
        <vt:i4>1769521</vt:i4>
      </vt:variant>
      <vt:variant>
        <vt:i4>122</vt:i4>
      </vt:variant>
      <vt:variant>
        <vt:i4>0</vt:i4>
      </vt:variant>
      <vt:variant>
        <vt:i4>5</vt:i4>
      </vt:variant>
      <vt:variant>
        <vt:lpwstr/>
      </vt:variant>
      <vt:variant>
        <vt:lpwstr>_Toc89343594</vt:lpwstr>
      </vt:variant>
      <vt:variant>
        <vt:i4>1835057</vt:i4>
      </vt:variant>
      <vt:variant>
        <vt:i4>116</vt:i4>
      </vt:variant>
      <vt:variant>
        <vt:i4>0</vt:i4>
      </vt:variant>
      <vt:variant>
        <vt:i4>5</vt:i4>
      </vt:variant>
      <vt:variant>
        <vt:lpwstr/>
      </vt:variant>
      <vt:variant>
        <vt:lpwstr>_Toc89343593</vt:lpwstr>
      </vt:variant>
      <vt:variant>
        <vt:i4>1900593</vt:i4>
      </vt:variant>
      <vt:variant>
        <vt:i4>110</vt:i4>
      </vt:variant>
      <vt:variant>
        <vt:i4>0</vt:i4>
      </vt:variant>
      <vt:variant>
        <vt:i4>5</vt:i4>
      </vt:variant>
      <vt:variant>
        <vt:lpwstr/>
      </vt:variant>
      <vt:variant>
        <vt:lpwstr>_Toc89343592</vt:lpwstr>
      </vt:variant>
      <vt:variant>
        <vt:i4>1966129</vt:i4>
      </vt:variant>
      <vt:variant>
        <vt:i4>104</vt:i4>
      </vt:variant>
      <vt:variant>
        <vt:i4>0</vt:i4>
      </vt:variant>
      <vt:variant>
        <vt:i4>5</vt:i4>
      </vt:variant>
      <vt:variant>
        <vt:lpwstr/>
      </vt:variant>
      <vt:variant>
        <vt:lpwstr>_Toc89343591</vt:lpwstr>
      </vt:variant>
      <vt:variant>
        <vt:i4>2031665</vt:i4>
      </vt:variant>
      <vt:variant>
        <vt:i4>98</vt:i4>
      </vt:variant>
      <vt:variant>
        <vt:i4>0</vt:i4>
      </vt:variant>
      <vt:variant>
        <vt:i4>5</vt:i4>
      </vt:variant>
      <vt:variant>
        <vt:lpwstr/>
      </vt:variant>
      <vt:variant>
        <vt:lpwstr>_Toc89343590</vt:lpwstr>
      </vt:variant>
      <vt:variant>
        <vt:i4>1441840</vt:i4>
      </vt:variant>
      <vt:variant>
        <vt:i4>92</vt:i4>
      </vt:variant>
      <vt:variant>
        <vt:i4>0</vt:i4>
      </vt:variant>
      <vt:variant>
        <vt:i4>5</vt:i4>
      </vt:variant>
      <vt:variant>
        <vt:lpwstr/>
      </vt:variant>
      <vt:variant>
        <vt:lpwstr>_Toc89343589</vt:lpwstr>
      </vt:variant>
      <vt:variant>
        <vt:i4>1507376</vt:i4>
      </vt:variant>
      <vt:variant>
        <vt:i4>86</vt:i4>
      </vt:variant>
      <vt:variant>
        <vt:i4>0</vt:i4>
      </vt:variant>
      <vt:variant>
        <vt:i4>5</vt:i4>
      </vt:variant>
      <vt:variant>
        <vt:lpwstr/>
      </vt:variant>
      <vt:variant>
        <vt:lpwstr>_Toc89343588</vt:lpwstr>
      </vt:variant>
      <vt:variant>
        <vt:i4>1572912</vt:i4>
      </vt:variant>
      <vt:variant>
        <vt:i4>80</vt:i4>
      </vt:variant>
      <vt:variant>
        <vt:i4>0</vt:i4>
      </vt:variant>
      <vt:variant>
        <vt:i4>5</vt:i4>
      </vt:variant>
      <vt:variant>
        <vt:lpwstr/>
      </vt:variant>
      <vt:variant>
        <vt:lpwstr>_Toc89343587</vt:lpwstr>
      </vt:variant>
      <vt:variant>
        <vt:i4>1638448</vt:i4>
      </vt:variant>
      <vt:variant>
        <vt:i4>74</vt:i4>
      </vt:variant>
      <vt:variant>
        <vt:i4>0</vt:i4>
      </vt:variant>
      <vt:variant>
        <vt:i4>5</vt:i4>
      </vt:variant>
      <vt:variant>
        <vt:lpwstr/>
      </vt:variant>
      <vt:variant>
        <vt:lpwstr>_Toc89343586</vt:lpwstr>
      </vt:variant>
      <vt:variant>
        <vt:i4>1703984</vt:i4>
      </vt:variant>
      <vt:variant>
        <vt:i4>68</vt:i4>
      </vt:variant>
      <vt:variant>
        <vt:i4>0</vt:i4>
      </vt:variant>
      <vt:variant>
        <vt:i4>5</vt:i4>
      </vt:variant>
      <vt:variant>
        <vt:lpwstr/>
      </vt:variant>
      <vt:variant>
        <vt:lpwstr>_Toc89343585</vt:lpwstr>
      </vt:variant>
      <vt:variant>
        <vt:i4>1769520</vt:i4>
      </vt:variant>
      <vt:variant>
        <vt:i4>62</vt:i4>
      </vt:variant>
      <vt:variant>
        <vt:i4>0</vt:i4>
      </vt:variant>
      <vt:variant>
        <vt:i4>5</vt:i4>
      </vt:variant>
      <vt:variant>
        <vt:lpwstr/>
      </vt:variant>
      <vt:variant>
        <vt:lpwstr>_Toc89343584</vt:lpwstr>
      </vt:variant>
      <vt:variant>
        <vt:i4>1835056</vt:i4>
      </vt:variant>
      <vt:variant>
        <vt:i4>56</vt:i4>
      </vt:variant>
      <vt:variant>
        <vt:i4>0</vt:i4>
      </vt:variant>
      <vt:variant>
        <vt:i4>5</vt:i4>
      </vt:variant>
      <vt:variant>
        <vt:lpwstr/>
      </vt:variant>
      <vt:variant>
        <vt:lpwstr>_Toc89343583</vt:lpwstr>
      </vt:variant>
      <vt:variant>
        <vt:i4>1900592</vt:i4>
      </vt:variant>
      <vt:variant>
        <vt:i4>50</vt:i4>
      </vt:variant>
      <vt:variant>
        <vt:i4>0</vt:i4>
      </vt:variant>
      <vt:variant>
        <vt:i4>5</vt:i4>
      </vt:variant>
      <vt:variant>
        <vt:lpwstr/>
      </vt:variant>
      <vt:variant>
        <vt:lpwstr>_Toc89343582</vt:lpwstr>
      </vt:variant>
      <vt:variant>
        <vt:i4>1966128</vt:i4>
      </vt:variant>
      <vt:variant>
        <vt:i4>44</vt:i4>
      </vt:variant>
      <vt:variant>
        <vt:i4>0</vt:i4>
      </vt:variant>
      <vt:variant>
        <vt:i4>5</vt:i4>
      </vt:variant>
      <vt:variant>
        <vt:lpwstr/>
      </vt:variant>
      <vt:variant>
        <vt:lpwstr>_Toc89343581</vt:lpwstr>
      </vt:variant>
      <vt:variant>
        <vt:i4>2031664</vt:i4>
      </vt:variant>
      <vt:variant>
        <vt:i4>38</vt:i4>
      </vt:variant>
      <vt:variant>
        <vt:i4>0</vt:i4>
      </vt:variant>
      <vt:variant>
        <vt:i4>5</vt:i4>
      </vt:variant>
      <vt:variant>
        <vt:lpwstr/>
      </vt:variant>
      <vt:variant>
        <vt:lpwstr>_Toc89343580</vt:lpwstr>
      </vt:variant>
      <vt:variant>
        <vt:i4>1441855</vt:i4>
      </vt:variant>
      <vt:variant>
        <vt:i4>32</vt:i4>
      </vt:variant>
      <vt:variant>
        <vt:i4>0</vt:i4>
      </vt:variant>
      <vt:variant>
        <vt:i4>5</vt:i4>
      </vt:variant>
      <vt:variant>
        <vt:lpwstr/>
      </vt:variant>
      <vt:variant>
        <vt:lpwstr>_Toc89343579</vt:lpwstr>
      </vt:variant>
      <vt:variant>
        <vt:i4>1507391</vt:i4>
      </vt:variant>
      <vt:variant>
        <vt:i4>26</vt:i4>
      </vt:variant>
      <vt:variant>
        <vt:i4>0</vt:i4>
      </vt:variant>
      <vt:variant>
        <vt:i4>5</vt:i4>
      </vt:variant>
      <vt:variant>
        <vt:lpwstr/>
      </vt:variant>
      <vt:variant>
        <vt:lpwstr>_Toc89343578</vt:lpwstr>
      </vt:variant>
      <vt:variant>
        <vt:i4>1572927</vt:i4>
      </vt:variant>
      <vt:variant>
        <vt:i4>20</vt:i4>
      </vt:variant>
      <vt:variant>
        <vt:i4>0</vt:i4>
      </vt:variant>
      <vt:variant>
        <vt:i4>5</vt:i4>
      </vt:variant>
      <vt:variant>
        <vt:lpwstr/>
      </vt:variant>
      <vt:variant>
        <vt:lpwstr>_Toc89343577</vt:lpwstr>
      </vt:variant>
      <vt:variant>
        <vt:i4>1638463</vt:i4>
      </vt:variant>
      <vt:variant>
        <vt:i4>14</vt:i4>
      </vt:variant>
      <vt:variant>
        <vt:i4>0</vt:i4>
      </vt:variant>
      <vt:variant>
        <vt:i4>5</vt:i4>
      </vt:variant>
      <vt:variant>
        <vt:lpwstr/>
      </vt:variant>
      <vt:variant>
        <vt:lpwstr>_Toc89343576</vt:lpwstr>
      </vt:variant>
      <vt:variant>
        <vt:i4>1703999</vt:i4>
      </vt:variant>
      <vt:variant>
        <vt:i4>8</vt:i4>
      </vt:variant>
      <vt:variant>
        <vt:i4>0</vt:i4>
      </vt:variant>
      <vt:variant>
        <vt:i4>5</vt:i4>
      </vt:variant>
      <vt:variant>
        <vt:lpwstr/>
      </vt:variant>
      <vt:variant>
        <vt:lpwstr>_Toc89343575</vt:lpwstr>
      </vt:variant>
      <vt:variant>
        <vt:i4>1769535</vt:i4>
      </vt:variant>
      <vt:variant>
        <vt:i4>2</vt:i4>
      </vt:variant>
      <vt:variant>
        <vt:i4>0</vt:i4>
      </vt:variant>
      <vt:variant>
        <vt:i4>5</vt:i4>
      </vt:variant>
      <vt:variant>
        <vt:lpwstr/>
      </vt:variant>
      <vt:variant>
        <vt:lpwstr>_Toc89343574</vt:lpwstr>
      </vt:variant>
      <vt:variant>
        <vt:i4>7143521</vt:i4>
      </vt:variant>
      <vt:variant>
        <vt:i4>24</vt:i4>
      </vt:variant>
      <vt:variant>
        <vt:i4>0</vt:i4>
      </vt:variant>
      <vt:variant>
        <vt:i4>5</vt:i4>
      </vt:variant>
      <vt:variant>
        <vt:lpwstr>https://www.mitre.org/publications/technical-papers/cyber-resiliency-design-principles</vt:lpwstr>
      </vt:variant>
      <vt:variant>
        <vt:lpwstr/>
      </vt:variant>
      <vt:variant>
        <vt:i4>6619237</vt:i4>
      </vt:variant>
      <vt:variant>
        <vt:i4>21</vt:i4>
      </vt:variant>
      <vt:variant>
        <vt:i4>0</vt:i4>
      </vt:variant>
      <vt:variant>
        <vt:i4>5</vt:i4>
      </vt:variant>
      <vt:variant>
        <vt:lpwstr>https://cyberriskinstitute.org/the-profile/</vt:lpwstr>
      </vt:variant>
      <vt:variant>
        <vt:lpwstr/>
      </vt:variant>
      <vt:variant>
        <vt:i4>2293819</vt:i4>
      </vt:variant>
      <vt:variant>
        <vt:i4>18</vt:i4>
      </vt:variant>
      <vt:variant>
        <vt:i4>0</vt:i4>
      </vt:variant>
      <vt:variant>
        <vt:i4>5</vt:i4>
      </vt:variant>
      <vt:variant>
        <vt:lpwstr>https://www.fsb.org/2018/11/cyber-lexicon/</vt:lpwstr>
      </vt:variant>
      <vt:variant>
        <vt:lpwstr/>
      </vt:variant>
      <vt:variant>
        <vt:i4>1638478</vt:i4>
      </vt:variant>
      <vt:variant>
        <vt:i4>15</vt:i4>
      </vt:variant>
      <vt:variant>
        <vt:i4>0</vt:i4>
      </vt:variant>
      <vt:variant>
        <vt:i4>5</vt:i4>
      </vt:variant>
      <vt:variant>
        <vt:lpwstr>https://ithandbook.ffiec.gov/</vt:lpwstr>
      </vt:variant>
      <vt:variant>
        <vt:lpwstr/>
      </vt:variant>
      <vt:variant>
        <vt:i4>4391007</vt:i4>
      </vt:variant>
      <vt:variant>
        <vt:i4>9</vt:i4>
      </vt:variant>
      <vt:variant>
        <vt:i4>0</vt:i4>
      </vt:variant>
      <vt:variant>
        <vt:i4>5</vt:i4>
      </vt:variant>
      <vt:variant>
        <vt:lpwstr>https://eur-lex.europa.eu/legal-content/EN/TXT/PDF/?uri=CELEX:32008L0114&amp;from=EN</vt:lpwstr>
      </vt:variant>
      <vt:variant>
        <vt:lpwstr/>
      </vt:variant>
      <vt:variant>
        <vt:i4>1572932</vt:i4>
      </vt:variant>
      <vt:variant>
        <vt:i4>6</vt:i4>
      </vt:variant>
      <vt:variant>
        <vt:i4>0</vt:i4>
      </vt:variant>
      <vt:variant>
        <vt:i4>5</vt:i4>
      </vt:variant>
      <vt:variant>
        <vt:lpwstr>https://www.nist.gov/cyberframework/framework</vt:lpwstr>
      </vt:variant>
      <vt:variant>
        <vt:lpwstr/>
      </vt:variant>
      <vt:variant>
        <vt:i4>3342374</vt:i4>
      </vt:variant>
      <vt:variant>
        <vt:i4>3</vt:i4>
      </vt:variant>
      <vt:variant>
        <vt:i4>0</vt:i4>
      </vt:variant>
      <vt:variant>
        <vt:i4>5</vt:i4>
      </vt:variant>
      <vt:variant>
        <vt:lpwstr>http://www.cyberriskinstitute.org/</vt:lpwstr>
      </vt:variant>
      <vt:variant>
        <vt:lpwstr/>
      </vt:variant>
      <vt:variant>
        <vt:i4>6619237</vt:i4>
      </vt:variant>
      <vt:variant>
        <vt:i4>0</vt:i4>
      </vt:variant>
      <vt:variant>
        <vt:i4>0</vt:i4>
      </vt:variant>
      <vt:variant>
        <vt:i4>5</vt:i4>
      </vt:variant>
      <vt:variant>
        <vt:lpwstr>https://cyberriskinstitute.org/the-profile/</vt:lpwstr>
      </vt:variant>
      <vt:variant>
        <vt:lpwstr/>
      </vt:variant>
      <vt:variant>
        <vt:i4>3342374</vt:i4>
      </vt:variant>
      <vt:variant>
        <vt:i4>0</vt:i4>
      </vt:variant>
      <vt:variant>
        <vt:i4>0</vt:i4>
      </vt:variant>
      <vt:variant>
        <vt:i4>5</vt:i4>
      </vt:variant>
      <vt:variant>
        <vt:lpwstr>http://www.cyberriskinstitute.org/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Chain - Mike T.</dc:title>
  <dc:subject/>
  <dc:creator>Stephanie Wake</dc:creator>
  <cp:keywords/>
  <dc:description/>
  <cp:lastModifiedBy>Angela Patel</cp:lastModifiedBy>
  <cp:revision>6</cp:revision>
  <cp:lastPrinted>2023-10-25T12:21:00Z</cp:lastPrinted>
  <dcterms:created xsi:type="dcterms:W3CDTF">2026-02-04T20:19:00Z</dcterms:created>
  <dcterms:modified xsi:type="dcterms:W3CDTF">2026-02-05T20:19:00Z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0x01010024424BE0E4E44F41B35D25EFD6504971</vt:lpwstr>
  </property>
  <property fmtid="{D5CDD505-2E9C-101B-9397-08002B2CF9AE}" pid="3" name="TitusGUID">
    <vt:lpwstr>68e05067-e0f4-48cc-8cd0-77ff50814186</vt:lpwstr>
  </property>
  <property fmtid="{D5CDD505-2E9C-101B-9397-08002B2CF9AE}" pid="4" name="_dlc_DocIdItemGuid">
    <vt:lpwstr>8bd71ee4-d7a9-4323-a957-b7fe9f258b88</vt:lpwstr>
  </property>
  <property fmtid="{D5CDD505-2E9C-101B-9397-08002B2CF9AE}" pid="5" name="_dlc_DocId">
    <vt:lpwstr>3HQWHFDH5QTY-825899837-49</vt:lpwstr>
  </property>
  <property fmtid="{D5CDD505-2E9C-101B-9397-08002B2CF9AE}" pid="6" name="_dlc_DocIdUrl">
    <vt:lpwstr>https://team.frb.gov/div/bsreg/sections/OIT/FSSCC-Review/_layouts/15/DocIdRedir.aspx?ID=3HQWHFDH5QTY-825899837-49, 3HQWHFDH5QTY-825899837-49</vt:lpwstr>
  </property>
</Properties>
</file>